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МИНИСТЕРСТВО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ПРОСВЕЩЕНИЯ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РОССИЙСКОЙ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2"/>
        </w:rPr>
        <w:t>ФЕДЕРАЦИИ</w:t>
      </w:r>
    </w:p>
    <w:p w14:paraId="02000000">
      <w:pPr>
        <w:spacing w:after="0" w:line="240" w:lineRule="atLeast"/>
        <w:ind w:firstLine="0" w:left="1670" w:right="1518"/>
        <w:jc w:val="center"/>
        <w:rPr>
          <w:rFonts w:ascii="Times New Roman" w:hAnsi="Times New Roman"/>
          <w:b w:val="1"/>
          <w:color w:val="000000"/>
        </w:rPr>
      </w:pPr>
    </w:p>
    <w:p w14:paraId="03000000">
      <w:pPr>
        <w:spacing w:after="0" w:line="240" w:lineRule="atLeast"/>
        <w:ind w:firstLine="0" w:left="1670" w:right="1518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Министерство</w:t>
      </w:r>
      <w:r>
        <w:rPr>
          <w:rFonts w:ascii="Times New Roman" w:hAnsi="Times New Roman"/>
          <w:b w:val="1"/>
          <w:color w:val="000000"/>
          <w:spacing w:val="-5"/>
        </w:rPr>
        <w:t xml:space="preserve"> </w:t>
      </w:r>
      <w:r>
        <w:rPr>
          <w:rFonts w:ascii="Times New Roman" w:hAnsi="Times New Roman"/>
          <w:b w:val="1"/>
          <w:color w:val="000000"/>
        </w:rPr>
        <w:t>образования</w:t>
      </w:r>
      <w:r>
        <w:rPr>
          <w:rFonts w:ascii="Times New Roman" w:hAnsi="Times New Roman"/>
          <w:b w:val="1"/>
          <w:color w:val="000000"/>
          <w:spacing w:val="-6"/>
        </w:rPr>
        <w:t xml:space="preserve"> </w:t>
      </w:r>
      <w:r>
        <w:rPr>
          <w:rFonts w:ascii="Times New Roman" w:hAnsi="Times New Roman"/>
          <w:b w:val="1"/>
          <w:color w:val="000000"/>
        </w:rPr>
        <w:t>Республики Тыва</w:t>
      </w:r>
    </w:p>
    <w:p w14:paraId="04000000">
      <w:pPr>
        <w:spacing w:after="0" w:line="240" w:lineRule="atLeast"/>
        <w:ind w:firstLine="0" w:left="1626" w:right="1518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Департамент по образованию Мэрии г</w:t>
      </w:r>
      <w:r>
        <w:rPr>
          <w:rFonts w:ascii="Times New Roman" w:hAnsi="Times New Roman"/>
          <w:b w:val="1"/>
          <w:color w:val="000000"/>
        </w:rPr>
        <w:t>.К</w:t>
      </w:r>
      <w:r>
        <w:rPr>
          <w:rFonts w:ascii="Times New Roman" w:hAnsi="Times New Roman"/>
          <w:b w:val="1"/>
          <w:color w:val="000000"/>
        </w:rPr>
        <w:t>ызыла</w:t>
      </w:r>
    </w:p>
    <w:p w14:paraId="05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Муниципальное бюджетное общеобразовательное учреждение</w:t>
      </w:r>
    </w:p>
    <w:p w14:paraId="06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«Средняя общеобразовательная школа № 20 имени Героев Отечества</w:t>
      </w:r>
    </w:p>
    <w:p w14:paraId="07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города </w:t>
      </w:r>
      <w:r>
        <w:rPr>
          <w:rFonts w:ascii="Times New Roman" w:hAnsi="Times New Roman"/>
          <w:b w:val="1"/>
          <w:color w:val="000000"/>
          <w:sz w:val="24"/>
        </w:rPr>
        <w:t>Кызыла Республики Тыва</w:t>
      </w:r>
    </w:p>
    <w:p w14:paraId="08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«МБОУ СОШ №20 им. Героев Отечества» </w:t>
      </w:r>
      <w:r>
        <w:rPr>
          <w:rFonts w:ascii="Times New Roman" w:hAnsi="Times New Roman"/>
          <w:b w:val="1"/>
          <w:color w:val="000000"/>
          <w:sz w:val="24"/>
        </w:rPr>
        <w:t>г</w:t>
      </w:r>
      <w:r>
        <w:rPr>
          <w:rFonts w:ascii="Times New Roman" w:hAnsi="Times New Roman"/>
          <w:b w:val="1"/>
          <w:color w:val="000000"/>
          <w:sz w:val="24"/>
        </w:rPr>
        <w:t>. Кызыла</w:t>
      </w:r>
    </w:p>
    <w:p w14:paraId="09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_____________________________________________________________________________</w:t>
      </w:r>
    </w:p>
    <w:p w14:paraId="0A000000">
      <w:pPr>
        <w:spacing w:after="0" w:line="240" w:lineRule="atLeast"/>
        <w:ind w:firstLine="0" w:left="-58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 xml:space="preserve">Республика Тыва, </w:t>
      </w:r>
      <w:r>
        <w:rPr>
          <w:rFonts w:ascii="Times New Roman" w:hAnsi="Times New Roman"/>
          <w:color w:val="000000"/>
          <w:sz w:val="18"/>
        </w:rPr>
        <w:t>г</w:t>
      </w:r>
      <w:r>
        <w:rPr>
          <w:rFonts w:ascii="Times New Roman" w:hAnsi="Times New Roman"/>
          <w:color w:val="000000"/>
          <w:sz w:val="18"/>
        </w:rPr>
        <w:t xml:space="preserve">. Кызыл, ул. </w:t>
      </w:r>
      <w:r>
        <w:rPr>
          <w:rFonts w:ascii="Times New Roman" w:hAnsi="Times New Roman"/>
          <w:color w:val="000000"/>
          <w:sz w:val="18"/>
        </w:rPr>
        <w:t>Большеенисейская</w:t>
      </w:r>
      <w:r>
        <w:rPr>
          <w:rFonts w:ascii="Times New Roman" w:hAnsi="Times New Roman"/>
          <w:color w:val="000000"/>
          <w:sz w:val="18"/>
        </w:rPr>
        <w:t xml:space="preserve">, </w:t>
      </w:r>
      <w:r>
        <w:rPr>
          <w:rFonts w:ascii="Times New Roman" w:hAnsi="Times New Roman"/>
          <w:color w:val="000000"/>
          <w:sz w:val="18"/>
        </w:rPr>
        <w:t>зд</w:t>
      </w:r>
      <w:r>
        <w:rPr>
          <w:rFonts w:ascii="Times New Roman" w:hAnsi="Times New Roman"/>
          <w:color w:val="000000"/>
          <w:sz w:val="18"/>
        </w:rPr>
        <w:t xml:space="preserve">. 2 </w:t>
      </w:r>
    </w:p>
    <w:p w14:paraId="0B000000">
      <w:pPr>
        <w:spacing w:after="0"/>
        <w:ind w:firstLine="0" w:left="120"/>
        <w:rPr>
          <w:color w:val="000000"/>
        </w:rPr>
      </w:pPr>
    </w:p>
    <w:tbl>
      <w:tblPr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РАССМОТРЕНО</w:t>
            </w:r>
          </w:p>
          <w:p w14:paraId="0D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Методическим объединением учителей математик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</w:p>
          <w:p w14:paraId="0E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</w:t>
            </w:r>
          </w:p>
          <w:p w14:paraId="0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Куулар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Ч.С.]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_____</w:t>
            </w:r>
          </w:p>
          <w:p w14:paraId="1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«29» августа 2024 г.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3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СОГЛАСОВАНО</w:t>
            </w:r>
          </w:p>
          <w:p w14:paraId="15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директора по НМР </w:t>
            </w:r>
          </w:p>
          <w:p w14:paraId="16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[Донгак Ч.В.]</w:t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9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Протокол </w:t>
            </w:r>
            <w:r>
              <w:rPr>
                <w:rFonts w:ascii="Times New Roman" w:hAnsi="Times New Roman"/>
                <w:color w:val="000000"/>
                <w:sz w:val="24"/>
              </w:rPr>
              <w:t>№______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«30» августа 2024г</w:t>
            </w:r>
          </w:p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1C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УТВЕРЖДЕНО</w:t>
            </w:r>
          </w:p>
          <w:p w14:paraId="1E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  <w:p w14:paraId="1F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20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 </w:t>
            </w: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Попугалов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Д.С.]</w:t>
            </w: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14:paraId="23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№______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«30» августа 2024г</w:t>
            </w:r>
          </w:p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26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7000000">
      <w:pPr>
        <w:spacing w:after="0" w:before="0"/>
        <w:ind w:firstLine="0" w:left="120"/>
        <w:jc w:val="left"/>
        <w:rPr>
          <w:color w:val="000000"/>
        </w:rPr>
      </w:pPr>
    </w:p>
    <w:p w14:paraId="28000000">
      <w:pPr>
        <w:spacing w:after="0" w:before="0"/>
        <w:ind w:firstLine="0" w:left="120"/>
        <w:jc w:val="left"/>
        <w:rPr>
          <w:color w:val="000000"/>
        </w:rPr>
      </w:pPr>
    </w:p>
    <w:p w14:paraId="29000000">
      <w:pPr>
        <w:spacing w:after="0" w:before="0"/>
        <w:ind w:firstLine="0" w:left="120"/>
        <w:jc w:val="left"/>
        <w:rPr>
          <w:color w:val="000000"/>
        </w:rPr>
      </w:pPr>
    </w:p>
    <w:p w14:paraId="2A000000">
      <w:pPr>
        <w:spacing w:after="0" w:before="0"/>
        <w:ind w:firstLine="0" w:left="120"/>
        <w:jc w:val="left"/>
        <w:rPr>
          <w:color w:val="000000"/>
        </w:rPr>
      </w:pPr>
    </w:p>
    <w:p w14:paraId="2B000000">
      <w:pPr>
        <w:spacing w:after="0" w:before="0"/>
        <w:ind w:firstLine="0" w:left="120"/>
        <w:jc w:val="left"/>
        <w:rPr>
          <w:color w:val="000000"/>
        </w:rPr>
      </w:pPr>
    </w:p>
    <w:p w14:paraId="2C000000">
      <w:pPr>
        <w:spacing w:after="0" w:before="0"/>
        <w:ind w:firstLine="0" w:left="120"/>
        <w:jc w:val="center"/>
        <w:rPr>
          <w:color w:val="000000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2D000000">
      <w:pPr>
        <w:spacing w:after="0" w:before="0"/>
        <w:ind w:firstLine="0" w:left="120"/>
        <w:jc w:val="center"/>
        <w:rPr>
          <w:color w:val="000000"/>
        </w:rPr>
      </w:pPr>
    </w:p>
    <w:p w14:paraId="2E000000">
      <w:pPr>
        <w:spacing w:after="0" w:before="0"/>
        <w:ind w:firstLine="0" w:left="120"/>
        <w:jc w:val="center"/>
        <w:rPr>
          <w:color w:val="000000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элективного курса по  математике «Решение экзаменационных задач по математике базового уровня»</w:t>
      </w:r>
    </w:p>
    <w:p w14:paraId="2F000000">
      <w:pPr>
        <w:spacing w:after="0" w:before="0"/>
        <w:ind w:firstLine="0" w:left="120"/>
        <w:jc w:val="center"/>
        <w:rPr>
          <w:color w:val="000000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10 класса</w:t>
      </w:r>
    </w:p>
    <w:p w14:paraId="30000000">
      <w:pPr>
        <w:spacing w:after="0" w:before="0"/>
        <w:ind w:firstLine="0" w:left="120"/>
        <w:jc w:val="center"/>
        <w:rPr>
          <w:color w:val="000000"/>
        </w:rPr>
      </w:pPr>
    </w:p>
    <w:p w14:paraId="31000000">
      <w:pPr>
        <w:spacing w:after="0" w:line="360" w:lineRule="auto"/>
        <w:ind w:firstLine="0" w:left="120"/>
        <w:jc w:val="center"/>
        <w:rPr>
          <w:rFonts w:ascii="Times New Roman" w:hAnsi="Times New Roman"/>
          <w:caps w:val="1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</w:rPr>
        <w:t>на  2024-2025 учебный год</w:t>
      </w:r>
    </w:p>
    <w:p w14:paraId="32000000">
      <w:pPr>
        <w:spacing w:after="0"/>
        <w:ind w:firstLine="0" w:left="120"/>
        <w:jc w:val="center"/>
        <w:rPr>
          <w:color w:val="000000"/>
        </w:rPr>
      </w:pPr>
    </w:p>
    <w:p w14:paraId="33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4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5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6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7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Составители: Куулар Чай-Суу Сейнек-ооловна</w:t>
      </w:r>
    </w:p>
    <w:p w14:paraId="38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9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A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B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C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D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E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F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КЫЗЫЛ, 2024</w:t>
      </w:r>
    </w:p>
    <w:p w14:paraId="40000000">
      <w:pPr>
        <w:spacing w:after="101" w:before="0"/>
        <w:ind w:firstLine="0" w:left="0" w:right="0"/>
        <w:jc w:val="center"/>
        <w:rPr>
          <w:rFonts w:ascii="Calibri" w:hAnsi="Calibri"/>
          <w:b w:val="1"/>
          <w:color w:val="000000"/>
          <w:spacing w:val="5"/>
          <w:sz w:val="19"/>
          <w:highlight w:val="white"/>
        </w:rPr>
      </w:pPr>
      <w:r>
        <w:rPr>
          <w:rFonts w:ascii="Times New Roman" w:hAnsi="Times New Roman"/>
          <w:b w:val="1"/>
          <w:color w:val="000000"/>
          <w:spacing w:val="0"/>
          <w:sz w:val="28"/>
          <w:highlight w:val="white"/>
        </w:rPr>
        <w:t> </w:t>
      </w:r>
    </w:p>
    <w:p w14:paraId="41000000">
      <w:pPr>
        <w:spacing w:after="101" w:before="0"/>
        <w:ind w:firstLine="0" w:left="0" w:right="0"/>
        <w:jc w:val="center"/>
        <w:rPr>
          <w:rFonts w:ascii="Calibri" w:hAnsi="Calibri"/>
          <w:b w:val="1"/>
          <w:color w:val="000000"/>
          <w:spacing w:val="5"/>
          <w:sz w:val="19"/>
          <w:highlight w:val="white"/>
        </w:rPr>
      </w:pPr>
      <w:r>
        <w:rPr>
          <w:rFonts w:ascii="Times New Roman" w:hAnsi="Times New Roman"/>
          <w:b w:val="1"/>
          <w:color w:val="000000"/>
          <w:spacing w:val="0"/>
          <w:sz w:val="28"/>
          <w:highlight w:val="white"/>
        </w:rPr>
        <w:t>Пояснительная записка.</w:t>
      </w:r>
    </w:p>
    <w:p w14:paraId="42000000">
      <w:pPr>
        <w:spacing w:after="101" w:before="0"/>
        <w:ind w:firstLine="0" w:left="0" w:right="0"/>
        <w:jc w:val="center"/>
        <w:rPr>
          <w:rFonts w:ascii="Calibri" w:hAnsi="Calibri"/>
          <w:b w:val="1"/>
          <w:color w:val="000000"/>
          <w:spacing w:val="5"/>
          <w:sz w:val="19"/>
          <w:highlight w:val="white"/>
        </w:rPr>
      </w:pPr>
      <w:r>
        <w:rPr>
          <w:rFonts w:ascii="Times New Roman" w:hAnsi="Times New Roman"/>
          <w:b w:val="1"/>
          <w:color w:val="000000"/>
          <w:spacing w:val="5"/>
          <w:sz w:val="24"/>
          <w:highlight w:val="white"/>
        </w:rPr>
        <w:t> </w:t>
      </w:r>
    </w:p>
    <w:p w14:paraId="43000000">
      <w:pPr>
        <w:spacing w:after="101" w:before="0"/>
        <w:ind w:firstLine="0" w:left="0" w:right="0"/>
        <w:jc w:val="center"/>
        <w:rPr>
          <w:rFonts w:ascii="Calibri" w:hAnsi="Calibri"/>
          <w:b w:val="1"/>
          <w:color w:val="000000"/>
          <w:spacing w:val="5"/>
          <w:sz w:val="19"/>
          <w:highlight w:val="white"/>
        </w:rPr>
      </w:pPr>
      <w:r>
        <w:rPr>
          <w:rFonts w:ascii="Times New Roman" w:hAnsi="Times New Roman"/>
          <w:b w:val="1"/>
          <w:color w:val="000000"/>
          <w:spacing w:val="5"/>
          <w:sz w:val="24"/>
          <w:highlight w:val="white"/>
        </w:rPr>
        <w:t>1. Цели изучения курса</w:t>
      </w:r>
    </w:p>
    <w:p w14:paraId="44000000">
      <w:pPr>
        <w:spacing w:after="0" w:before="0"/>
        <w:ind w:firstLine="686" w:left="23" w:right="23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>Предлагаемая программа «За страницами учебника математики» предназначена для организации внеурочной деятельности по нескольким взаимосвязанным направлениям развития лично­сти, таким как общеинтеллектуальное, общекультурное и со­циальное.</w:t>
      </w:r>
    </w:p>
    <w:p w14:paraId="45000000">
      <w:pPr>
        <w:spacing w:after="0" w:before="0"/>
        <w:ind w:firstLine="220" w:left="20" w:right="20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>Основной целью учебного курса является обучение реше­нию нестандартных задач по математике. Курс также закладывает пропедевтику наиболее значимых тем кур­са информатики и позволяет успешно готовиться к участию в олимпиадах по математике.</w:t>
      </w:r>
    </w:p>
    <w:p w14:paraId="46000000">
      <w:pPr>
        <w:spacing w:after="209" w:before="0"/>
        <w:ind w:firstLine="220" w:left="20" w:right="20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> </w:t>
      </w:r>
    </w:p>
    <w:p w14:paraId="47000000">
      <w:pPr>
        <w:spacing w:after="101" w:before="0"/>
        <w:ind w:firstLine="0" w:left="0" w:right="0"/>
        <w:jc w:val="center"/>
        <w:rPr>
          <w:rFonts w:ascii="Calibri" w:hAnsi="Calibri"/>
          <w:b w:val="1"/>
          <w:color w:val="000000"/>
          <w:spacing w:val="5"/>
          <w:sz w:val="19"/>
          <w:highlight w:val="white"/>
        </w:rPr>
      </w:pPr>
      <w:r>
        <w:rPr>
          <w:rFonts w:ascii="Times New Roman" w:hAnsi="Times New Roman"/>
          <w:b w:val="1"/>
          <w:color w:val="000000"/>
          <w:spacing w:val="5"/>
          <w:sz w:val="24"/>
          <w:highlight w:val="white"/>
          <w:u w:color="000000" w:val="single"/>
        </w:rPr>
        <w:t>2. Общая характеристика курса</w:t>
      </w:r>
    </w:p>
    <w:p w14:paraId="48000000">
      <w:pPr>
        <w:spacing w:after="0" w:before="0"/>
        <w:ind w:firstLine="709" w:left="0" w:right="0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>Одной из особенностей творческой личности является устойчи­вое умение (превращенное в привычку) находить лучшее реше­ние проблемы (творчество). Это относится к любым задачам.</w:t>
      </w:r>
    </w:p>
    <w:p w14:paraId="49000000">
      <w:pPr>
        <w:spacing w:after="0" w:before="0"/>
        <w:ind w:firstLine="220" w:left="20" w:right="20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>Множество нестандартных задач для учащихся основной школы сконцентрировано в математике. В различных мате­матических книгах, посвященных олимпиадным задачам,</w:t>
      </w:r>
      <w:r>
        <w:rPr>
          <w:rFonts w:ascii="Times New Roman" w:hAnsi="Times New Roman"/>
          <w:color w:val="000000"/>
          <w:spacing w:val="6"/>
          <w:sz w:val="1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highlight w:val="white"/>
        </w:rPr>
        <w:t>дается их обзор с решениями и без них, в ряде случаев разби­рается методика решения. Однако сам мыслительный процесс нахождения решения задачи, как правило, не отражается. И у читателя возникает вопрос, как «додуматься» до решения задачи. Другой не менее важный вопрос, на который необхо­димо обращать внимание при обучении решению нестандарт­ных задач, — каковы составляющие мыслительного процесса от «прочтения» задачи до ее решения?</w:t>
      </w:r>
    </w:p>
    <w:p w14:paraId="4A000000">
      <w:pPr>
        <w:spacing w:after="0" w:before="0"/>
        <w:ind w:firstLine="240" w:left="2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Научить решать нестандартные задачи — интересная, но и достаточно непростая работа, которая предполагает приме­нение знаний по педагогике, методике, психологии, личного творчества и многого другого. Решение нестандартных задач соотносится с творчеством личности. Поэтому чем больше уч­тено существенных элементов, входящих в процесс творче­ства, тем успешнее будет достигнута цель.</w:t>
      </w:r>
    </w:p>
    <w:p w14:paraId="4B000000">
      <w:pPr>
        <w:spacing w:after="0" w:before="0"/>
        <w:ind w:firstLine="240" w:left="2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Для достижения указанной цели прежде всего необходимо познакомиться с идеями и механизмом, лежащими в основе творчества, необходимого для решения нестандартных задач, получить представление о новом подходе к обучению и по­знакомиться с методикой достижения значимых результатов. А далее на примере достаточно большого числа олимпиадных задач разобрать различные приемы решений, для которых вычленены и обобщены их особенности.</w:t>
      </w:r>
    </w:p>
    <w:p w14:paraId="4C000000">
      <w:pPr>
        <w:spacing w:after="0" w:before="0"/>
        <w:ind w:firstLine="240" w:left="2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Так, прослеживая связь творческого процесса и процесса решения нестандартной задачи, рассматриваются компонен­ты творчества: научные знания, творческое мышление, уме­ния творческой работы, а также такие качества, без которых немыслимо творчество: анализ, синтез и умение предвидеть (т. е. прогнозировать, экстраполировать имеющиеся знания на еще непознанную ситуацию).</w:t>
      </w:r>
    </w:p>
    <w:p w14:paraId="4D000000">
      <w:pPr>
        <w:spacing w:after="209" w:before="0"/>
        <w:ind w:firstLine="240" w:left="2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Большое внимание необходимо уделять возрастным особен­ностям восприятия учебного материала учащимися, а также принципам организации занятий по развитию творческого мышления при решении нестандартных и олимпиадных задач у учащихся 9,11 классы, включая системати­зацию самих нестандартных задач.</w:t>
      </w:r>
    </w:p>
    <w:p w14:paraId="4E000000">
      <w:pPr>
        <w:spacing w:after="158" w:before="0"/>
        <w:ind w:firstLine="0" w:left="920" w:right="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pacing w:val="5"/>
          <w:sz w:val="24"/>
          <w:u w:color="000000" w:val="single"/>
        </w:rPr>
        <w:t>3. Описание места в учебном плане</w:t>
      </w:r>
    </w:p>
    <w:p w14:paraId="4F000000">
      <w:pPr>
        <w:spacing w:after="0" w:before="0"/>
        <w:ind w:firstLine="1400" w:left="23" w:right="23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Учебный курс «За страницами учебника математики» реализуется за счет вариативного компонен­та, формируемого участниками образовательного процесса. Используется время, отведенное на внеурочную деятельность. Форма реализации курса — внеурочное занятие</w:t>
      </w:r>
    </w:p>
    <w:p w14:paraId="50000000">
      <w:pPr>
        <w:spacing w:after="180" w:before="0"/>
        <w:ind w:firstLine="240" w:left="2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По решению образовательного учреждения исполь­зуются все предлагаемые модули для учащихся 10-11 классов в течение двух лет. В этом случае общий объем учебного времени со­ставит 68 ч.(34+34) При компоновке программы помодульно на два года обучения используется метод погружения. Таким образом, нагрузка распределяется равномерно на каждой неделе</w:t>
      </w:r>
      <w:r>
        <w:rPr>
          <w:rFonts w:ascii="Times New Roman" w:hAnsi="Times New Roman"/>
          <w:color w:val="000000"/>
          <w:spacing w:val="6"/>
          <w:sz w:val="24"/>
        </w:rPr>
        <w:t> </w:t>
      </w:r>
      <w:r>
        <w:rPr>
          <w:rFonts w:ascii="Times New Roman" w:hAnsi="Times New Roman"/>
          <w:color w:val="000000"/>
          <w:spacing w:val="6"/>
          <w:sz w:val="24"/>
        </w:rPr>
        <w:t xml:space="preserve"> по одному дополнительному часу на нестандартные зада­чи.</w:t>
      </w:r>
    </w:p>
    <w:p w14:paraId="51000000">
      <w:pPr>
        <w:spacing w:after="60" w:before="0"/>
        <w:ind w:firstLine="0" w:left="0" w:right="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pacing w:val="5"/>
          <w:sz w:val="24"/>
          <w:u w:color="000000" w:val="single"/>
        </w:rPr>
        <w:t> </w:t>
      </w:r>
    </w:p>
    <w:p w14:paraId="52000000">
      <w:pPr>
        <w:spacing w:after="60" w:before="0"/>
        <w:ind w:firstLine="0" w:left="0" w:right="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pacing w:val="5"/>
          <w:sz w:val="24"/>
        </w:rPr>
        <w:t> </w:t>
      </w:r>
    </w:p>
    <w:p w14:paraId="53000000">
      <w:pPr>
        <w:spacing w:after="60" w:before="0"/>
        <w:ind w:firstLine="0" w:left="0" w:right="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pacing w:val="5"/>
          <w:sz w:val="24"/>
        </w:rPr>
        <w:t>4. Метапредметные, личностные и предметные результаты освоения учебного курса</w:t>
      </w:r>
    </w:p>
    <w:p w14:paraId="54000000">
      <w:pPr>
        <w:spacing w:after="0" w:before="0"/>
        <w:ind w:firstLine="686" w:left="23" w:right="23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В результате изучения математики основной школы получат дальнейшее развитие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личностные, регуля­тивные, коммуникативные и познавательные универ­сальные учебные действия, учебная (общая и предмет­ная) и общепользовательская ИКТ-компетентность обучающихся,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</w:rPr>
        <w:t>составляющие психолого-педагогическую и инструментальную основы формирования способности и го­товности к освоению систематических знаний, их самостоя­тельному пополнению, переносу и интеграции; способности к сотрудничеству и коммуникации, решению личностно и со­циально значимых проблем и воплощению решений в практи­ку; способности к самоорганизации, саморегуляции и рефлек­сии.</w:t>
      </w:r>
    </w:p>
    <w:p w14:paraId="55000000">
      <w:pPr>
        <w:spacing w:after="0" w:before="0"/>
        <w:ind w:firstLine="669" w:left="40" w:right="23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>Фактически планируемые личностные, метапредметные и предметные результаты устанавливают и описывают не­которые обобщенные классы учебно-познавательных и учебно-практических задач, предъявляемых учащимся. При использовании во внеурочной деятельности модульных курсов специально отбираются учебно-практические и учебно- познавательные задачи, направленные на формирование и развитие ИКТ-компетентности обучающихся. Такие задачи требуют педагогически целесообразного использования ИКТ в целях повышения эффективности процесса формирования всех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использования ИКТ.</w:t>
      </w:r>
    </w:p>
    <w:p w14:paraId="56000000">
      <w:pPr>
        <w:spacing w:after="0" w:before="0"/>
        <w:ind w:firstLine="160" w:left="4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 xml:space="preserve">В ходе изучения курса в основном формируются и получа­ют развитие </w:t>
      </w:r>
      <w:r>
        <w:rPr>
          <w:rFonts w:ascii="Times New Roman" w:hAnsi="Times New Roman"/>
          <w:b w:val="1"/>
          <w:color w:val="000000"/>
          <w:spacing w:val="6"/>
          <w:sz w:val="24"/>
        </w:rPr>
        <w:t>метапредметные результаты</w:t>
      </w:r>
      <w:r>
        <w:rPr>
          <w:rFonts w:ascii="Times New Roman" w:hAnsi="Times New Roman"/>
          <w:color w:val="000000"/>
          <w:spacing w:val="6"/>
          <w:sz w:val="24"/>
        </w:rPr>
        <w:t>, такие как:</w:t>
      </w:r>
    </w:p>
    <w:p w14:paraId="57000000">
      <w:pPr>
        <w:spacing w:after="0" w:before="0"/>
        <w:ind w:hanging="44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Bookman Old Style" w:hAnsi="Bookman Old Style"/>
          <w:color w:val="000000"/>
          <w:spacing w:val="7"/>
          <w:sz w:val="15"/>
        </w:rPr>
        <w:t>•</w:t>
      </w:r>
      <w:r>
        <w:rPr>
          <w:rFonts w:ascii="Times New Roman" w:hAnsi="Times New Roman"/>
          <w:color w:val="000000"/>
          <w:spacing w:val="7"/>
          <w:sz w:val="14"/>
        </w:rPr>
        <w:t> 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умение самостоятельно планировать пути достижения целей, в том числе альтернативные, и осознанно выби­рать наиболее эффективные способы решения учебных и познавательных задач;</w:t>
      </w:r>
    </w:p>
    <w:p w14:paraId="58000000">
      <w:pPr>
        <w:spacing w:after="0" w:before="0"/>
        <w:ind w:hanging="44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Bookman Old Style" w:hAnsi="Bookman Old Style"/>
          <w:color w:val="000000"/>
          <w:spacing w:val="7"/>
          <w:sz w:val="15"/>
        </w:rPr>
        <w:t>•</w:t>
      </w:r>
      <w:r>
        <w:rPr>
          <w:rFonts w:ascii="Times New Roman" w:hAnsi="Times New Roman"/>
          <w:color w:val="000000"/>
          <w:spacing w:val="7"/>
          <w:sz w:val="14"/>
        </w:rPr>
        <w:t> 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умение соотносить свои действия с планируемыми ре­зультатами, осуществлять контроль своей деятель­ности в процессе достижения результата, определять способы, действий в рамках предложенных условий и тре­бований, корректировать свои действия в соответствии с изменяющейся ситуацией;</w:t>
      </w:r>
    </w:p>
    <w:p w14:paraId="59000000">
      <w:pPr>
        <w:spacing w:after="0" w:before="0"/>
        <w:ind w:hanging="44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Bookman Old Style" w:hAnsi="Bookman Old Style"/>
          <w:color w:val="000000"/>
          <w:spacing w:val="7"/>
          <w:sz w:val="15"/>
        </w:rPr>
        <w:t>•</w:t>
      </w:r>
      <w:r>
        <w:rPr>
          <w:rFonts w:ascii="Times New Roman" w:hAnsi="Times New Roman"/>
          <w:color w:val="000000"/>
          <w:spacing w:val="7"/>
          <w:sz w:val="14"/>
        </w:rPr>
        <w:t> 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умение оценивать правильность выполнения учебной за­дачи, собственные возможности ее решения;</w:t>
      </w:r>
    </w:p>
    <w:p w14:paraId="5A000000">
      <w:pPr>
        <w:spacing w:after="0" w:before="0"/>
        <w:ind w:hanging="44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Bookman Old Style" w:hAnsi="Bookman Old Style"/>
          <w:color w:val="000000"/>
          <w:spacing w:val="7"/>
          <w:sz w:val="15"/>
        </w:rPr>
        <w:t>•</w:t>
      </w:r>
      <w:r>
        <w:rPr>
          <w:rFonts w:ascii="Times New Roman" w:hAnsi="Times New Roman"/>
          <w:color w:val="000000"/>
          <w:spacing w:val="7"/>
          <w:sz w:val="14"/>
        </w:rPr>
        <w:t> 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умение создавать, применять и преобразовывать знаки и символы, модели и схемы для решения учебных и позна­вательных задач;</w:t>
      </w:r>
    </w:p>
    <w:p w14:paraId="5B000000">
      <w:pPr>
        <w:spacing w:after="0" w:before="0"/>
        <w:ind w:hanging="44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Bookman Old Style" w:hAnsi="Bookman Old Style"/>
          <w:color w:val="000000"/>
          <w:spacing w:val="7"/>
          <w:sz w:val="15"/>
        </w:rPr>
        <w:t>•</w:t>
      </w:r>
      <w:r>
        <w:rPr>
          <w:rFonts w:ascii="Times New Roman" w:hAnsi="Times New Roman"/>
          <w:color w:val="000000"/>
          <w:spacing w:val="7"/>
          <w:sz w:val="14"/>
        </w:rPr>
        <w:t> 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C000000">
      <w:pPr>
        <w:spacing w:after="0" w:before="0"/>
        <w:ind w:hanging="44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Bookman Old Style" w:hAnsi="Bookman Old Style"/>
          <w:color w:val="000000"/>
          <w:spacing w:val="7"/>
          <w:sz w:val="15"/>
        </w:rPr>
        <w:t>•</w:t>
      </w:r>
      <w:r>
        <w:rPr>
          <w:rFonts w:ascii="Times New Roman" w:hAnsi="Times New Roman"/>
          <w:color w:val="000000"/>
          <w:spacing w:val="7"/>
          <w:sz w:val="14"/>
        </w:rPr>
        <w:t> 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умение организовывать учебное сотрудничество и сов­местную деятельность с учителем и сверстниками; рабо­тать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5D000000">
      <w:pPr>
        <w:spacing w:after="0" w:before="0"/>
        <w:ind w:hanging="44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Bookman Old Style" w:hAnsi="Bookman Old Style"/>
          <w:color w:val="000000"/>
          <w:spacing w:val="7"/>
          <w:sz w:val="15"/>
        </w:rPr>
        <w:t>•</w:t>
      </w:r>
      <w:r>
        <w:rPr>
          <w:rFonts w:ascii="Times New Roman" w:hAnsi="Times New Roman"/>
          <w:color w:val="000000"/>
          <w:spacing w:val="7"/>
          <w:sz w:val="14"/>
        </w:rPr>
        <w:t> 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</w:rPr>
        <w:t>формирование и развитие компетентности в области ис­пользования информационно-коммуникационных техно­логий (далее ИКТ-компетенции).</w:t>
      </w:r>
    </w:p>
    <w:p w14:paraId="5E000000">
      <w:pPr>
        <w:spacing w:after="0" w:before="0"/>
        <w:ind w:firstLine="100" w:left="80" w:right="20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 xml:space="preserve">Вместе с тем вносится существенный вклад в развитие </w:t>
      </w:r>
      <w:r>
        <w:rPr>
          <w:rFonts w:ascii="Times New Roman" w:hAnsi="Times New Roman"/>
          <w:b w:val="1"/>
          <w:color w:val="000000"/>
          <w:spacing w:val="6"/>
          <w:sz w:val="24"/>
          <w:highlight w:val="white"/>
        </w:rPr>
        <w:t>лич­ностных результатов</w:t>
      </w:r>
      <w:r>
        <w:rPr>
          <w:rFonts w:ascii="Times New Roman" w:hAnsi="Times New Roman"/>
          <w:color w:val="000000"/>
          <w:spacing w:val="6"/>
          <w:sz w:val="24"/>
          <w:highlight w:val="white"/>
        </w:rPr>
        <w:t>, таких как:</w:t>
      </w:r>
    </w:p>
    <w:p w14:paraId="5F000000">
      <w:pPr>
        <w:spacing w:after="0" w:before="0"/>
        <w:ind w:hanging="440" w:left="260" w:right="20"/>
        <w:jc w:val="both"/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</w:pPr>
      <w:r>
        <w:rPr>
          <w:rFonts w:ascii="Bookman Old Style" w:hAnsi="Bookman Old Style"/>
          <w:i w:val="0"/>
          <w:color w:val="000000"/>
          <w:spacing w:val="7"/>
          <w:sz w:val="15"/>
          <w:highlight w:val="white"/>
        </w:rPr>
        <w:t>•</w:t>
      </w:r>
      <w:r>
        <w:rPr>
          <w:rFonts w:ascii="Times New Roman" w:hAnsi="Times New Roman"/>
          <w:i w:val="0"/>
          <w:color w:val="000000"/>
          <w:spacing w:val="7"/>
          <w:sz w:val="14"/>
          <w:highlight w:val="white"/>
        </w:rPr>
        <w:t> </w:t>
      </w:r>
      <w:r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  <w:highlight w:val="white"/>
        </w:rPr>
        <w:t>формирование ответственного отношения к учению, го­товности и способности обучающихся к саморазвитию и самообразованию на основе мотивации к обучению и по­знанию, осознанному выбору и построению дальнейшей индивидуальной траектории образования на базе ориен­тировки в мире профессий и профессиональных предпо­чтений, с учетом устойчивых познавательных инте­ресов, а также на основе формирования уважительного отношения к труду, развития опыта участия в социаль­но значимом труде;</w:t>
      </w:r>
    </w:p>
    <w:p w14:paraId="60000000">
      <w:pPr>
        <w:spacing w:after="0" w:before="0"/>
        <w:ind w:hanging="440" w:left="260" w:right="20"/>
        <w:jc w:val="both"/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</w:pPr>
      <w:r>
        <w:rPr>
          <w:rFonts w:ascii="Bookman Old Style" w:hAnsi="Bookman Old Style"/>
          <w:i w:val="0"/>
          <w:color w:val="000000"/>
          <w:spacing w:val="7"/>
          <w:sz w:val="15"/>
          <w:highlight w:val="white"/>
        </w:rPr>
        <w:t>•</w:t>
      </w:r>
      <w:r>
        <w:rPr>
          <w:rFonts w:ascii="Times New Roman" w:hAnsi="Times New Roman"/>
          <w:i w:val="0"/>
          <w:color w:val="000000"/>
          <w:spacing w:val="7"/>
          <w:sz w:val="14"/>
          <w:highlight w:val="white"/>
        </w:rPr>
        <w:t> </w:t>
      </w:r>
      <w:r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  <w:highlight w:val="white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об­разовательной, общественно полезной, учебно-исследовательской, творческой и других видов деятельности.</w:t>
      </w:r>
    </w:p>
    <w:p w14:paraId="61000000">
      <w:pPr>
        <w:spacing w:after="0" w:before="0"/>
        <w:ind w:firstLine="100" w:left="80" w:right="20"/>
        <w:jc w:val="both"/>
        <w:rPr>
          <w:rFonts w:ascii="Times New Roman" w:hAnsi="Times New Roman"/>
          <w:color w:val="000000"/>
          <w:spacing w:val="6"/>
          <w:sz w:val="18"/>
          <w:highlight w:val="white"/>
        </w:rPr>
      </w:pPr>
      <w:r>
        <w:rPr>
          <w:rFonts w:ascii="Times New Roman" w:hAnsi="Times New Roman"/>
          <w:color w:val="000000"/>
          <w:spacing w:val="6"/>
          <w:sz w:val="24"/>
          <w:highlight w:val="white"/>
        </w:rPr>
        <w:t xml:space="preserve">В части развития </w:t>
      </w:r>
      <w:r>
        <w:rPr>
          <w:rFonts w:ascii="Times New Roman" w:hAnsi="Times New Roman"/>
          <w:b w:val="1"/>
          <w:color w:val="000000"/>
          <w:spacing w:val="6"/>
          <w:sz w:val="24"/>
          <w:highlight w:val="white"/>
        </w:rPr>
        <w:t>предметных результатов</w:t>
      </w:r>
      <w:r>
        <w:rPr>
          <w:rFonts w:ascii="Times New Roman" w:hAnsi="Times New Roman"/>
          <w:color w:val="000000"/>
          <w:spacing w:val="6"/>
          <w:sz w:val="24"/>
          <w:highlight w:val="white"/>
        </w:rPr>
        <w:t xml:space="preserve"> наибольшее вли­яние изучение курса оказывает:</w:t>
      </w:r>
    </w:p>
    <w:p w14:paraId="62000000">
      <w:pPr>
        <w:spacing w:after="0" w:before="0"/>
        <w:ind w:hanging="440" w:left="260" w:right="20"/>
        <w:jc w:val="both"/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</w:pPr>
      <w:r>
        <w:rPr>
          <w:rFonts w:ascii="Bookman Old Style" w:hAnsi="Bookman Old Style"/>
          <w:i w:val="0"/>
          <w:color w:val="000000"/>
          <w:spacing w:val="7"/>
          <w:sz w:val="15"/>
          <w:highlight w:val="white"/>
        </w:rPr>
        <w:t>•</w:t>
      </w:r>
      <w:r>
        <w:rPr>
          <w:rFonts w:ascii="Times New Roman" w:hAnsi="Times New Roman"/>
          <w:i w:val="0"/>
          <w:color w:val="000000"/>
          <w:spacing w:val="7"/>
          <w:sz w:val="14"/>
          <w:highlight w:val="white"/>
        </w:rPr>
        <w:t> </w:t>
      </w:r>
      <w:r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  <w:highlight w:val="white"/>
        </w:rPr>
        <w:t>на овладение простейшими способами представления и анализа статистических данных; формирование пред­ставлений о статистических закономерностях в ре­альном мире и о различных способах их изучения, о про­стейших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ста­тистических характеристик, использовать понимание вероятностных свойств окружающих явлений при при­нятии решений;</w:t>
      </w:r>
    </w:p>
    <w:p w14:paraId="63000000">
      <w:pPr>
        <w:spacing w:after="0" w:before="0"/>
        <w:ind w:hanging="440" w:left="260" w:right="20"/>
        <w:jc w:val="both"/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</w:pPr>
      <w:r>
        <w:rPr>
          <w:rFonts w:ascii="Bookman Old Style" w:hAnsi="Bookman Old Style"/>
          <w:i w:val="0"/>
          <w:color w:val="000000"/>
          <w:spacing w:val="7"/>
          <w:sz w:val="15"/>
          <w:highlight w:val="white"/>
        </w:rPr>
        <w:t>•</w:t>
      </w:r>
      <w:r>
        <w:rPr>
          <w:rFonts w:ascii="Times New Roman" w:hAnsi="Times New Roman"/>
          <w:i w:val="0"/>
          <w:color w:val="000000"/>
          <w:spacing w:val="7"/>
          <w:sz w:val="14"/>
          <w:highlight w:val="white"/>
        </w:rPr>
        <w:t> </w:t>
      </w:r>
      <w:r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  <w:highlight w:val="white"/>
        </w:rPr>
        <w:t>формирование умений формализации и структурирова­ния информации, умения выбирать способ представления данных в соответствии с поставленной задачей — та­блицы, схемы, графики, диаграммы, с использованием со­ответствующих программных средств обработки дан­ных;</w:t>
      </w:r>
    </w:p>
    <w:p w14:paraId="64000000">
      <w:pPr>
        <w:spacing w:after="0" w:before="0"/>
        <w:ind w:hanging="440" w:left="260" w:right="20"/>
        <w:jc w:val="both"/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</w:pPr>
      <w:r>
        <w:rPr>
          <w:rFonts w:ascii="Bookman Old Style" w:hAnsi="Bookman Old Style"/>
          <w:i w:val="0"/>
          <w:color w:val="000000"/>
          <w:spacing w:val="7"/>
          <w:sz w:val="15"/>
          <w:highlight w:val="white"/>
        </w:rPr>
        <w:t>•</w:t>
      </w:r>
      <w:r>
        <w:rPr>
          <w:rFonts w:ascii="Times New Roman" w:hAnsi="Times New Roman"/>
          <w:i w:val="0"/>
          <w:color w:val="000000"/>
          <w:spacing w:val="7"/>
          <w:sz w:val="14"/>
          <w:highlight w:val="white"/>
        </w:rPr>
        <w:t> </w:t>
      </w:r>
      <w:r>
        <w:rPr>
          <w:rFonts w:ascii="Bookman Old Style" w:hAnsi="Bookman Old Style"/>
          <w:i w:val="1"/>
          <w:color w:val="000000"/>
          <w:spacing w:val="12"/>
          <w:sz w:val="15"/>
          <w:highlight w:val="white"/>
        </w:rPr>
        <w:t xml:space="preserve"> </w:t>
      </w:r>
      <w:r>
        <w:rPr>
          <w:rFonts w:ascii="Times New Roman" w:hAnsi="Times New Roman"/>
          <w:i w:val="1"/>
          <w:color w:val="000000"/>
          <w:spacing w:val="7"/>
          <w:sz w:val="24"/>
          <w:highlight w:val="white"/>
        </w:rPr>
        <w:t>формирование навыков и умений безопасного и целесоо­бразного поведения при работе с компьютерными про­граммами и в Интернете, умения соблюдать нормы ин­формационной этики и права.</w:t>
      </w:r>
    </w:p>
    <w:p w14:paraId="65000000">
      <w:pPr>
        <w:spacing w:after="0" w:before="0"/>
        <w:ind w:firstLine="0" w:left="24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i w:val="1"/>
          <w:color w:val="000000"/>
          <w:spacing w:val="12"/>
          <w:sz w:val="24"/>
        </w:rPr>
        <w:t> </w:t>
      </w:r>
    </w:p>
    <w:p w14:paraId="66000000">
      <w:pPr>
        <w:spacing w:after="60" w:before="0"/>
        <w:ind w:firstLine="0" w:left="0" w:right="2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pacing w:val="5"/>
          <w:sz w:val="24"/>
          <w:u w:color="000000" w:val="single"/>
        </w:rPr>
        <w:t>5. Содержание учебного курса с описанием учебно-методического и материально-технического обеспечения образовательного процесса</w:t>
      </w:r>
    </w:p>
    <w:p w14:paraId="67000000">
      <w:pPr>
        <w:spacing w:after="0" w:before="0"/>
        <w:ind w:firstLine="669" w:left="40" w:right="23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Содержание учебного курса представлено подборкой не­стандартных задач по математике для 10-11 классов. Для дальнейшего использования учебного курса расширяется список задач по указанным темам и усложняет­ся содержание заданий за счет работы с аналитическими за­дачами, задачами на комбинаторику, теорию множеств и т. д.</w:t>
      </w:r>
    </w:p>
    <w:p w14:paraId="68000000">
      <w:pPr>
        <w:spacing w:after="0" w:before="0"/>
        <w:ind w:firstLine="220" w:left="4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Использование современных образовательных технологий на занятиях математики позволяет повысить качество обучения предмету.</w:t>
      </w:r>
    </w:p>
    <w:p w14:paraId="69000000">
      <w:pPr>
        <w:spacing w:after="138" w:before="0"/>
        <w:ind w:firstLine="220" w:left="4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Информационно-методические условия реализации основ­ной образовательной программы общего образования должны обеспечиваться современной информационной образователь­ной средой. ИОС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тех­нологических средств информационных и коммуникационных технологий (компьютеры, иное ИКТ-оборудование, комму­никационные каналы) систему современных педагогических технологий, обеспечивающих обучение в современной ИОС.</w:t>
      </w:r>
    </w:p>
    <w:p w14:paraId="6A000000">
      <w:pPr>
        <w:spacing w:after="138" w:before="0"/>
        <w:ind w:firstLine="220" w:left="4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 </w:t>
      </w:r>
    </w:p>
    <w:p w14:paraId="6B000000">
      <w:pPr>
        <w:spacing w:after="138" w:before="0"/>
        <w:ind w:firstLine="220" w:left="40" w:right="20"/>
        <w:jc w:val="center"/>
        <w:rPr>
          <w:sz w:val="24"/>
        </w:rPr>
      </w:pPr>
      <w:r>
        <w:rPr>
          <w:rFonts w:ascii="Times New Roman" w:hAnsi="Times New Roman"/>
          <w:color w:val="000000"/>
          <w:spacing w:val="6"/>
          <w:sz w:val="24"/>
        </w:rPr>
        <w:t> </w:t>
      </w:r>
      <w:r>
        <w:rPr>
          <w:rFonts w:ascii="Times New Roman" w:hAnsi="Times New Roman"/>
          <w:b w:val="1"/>
          <w:i w:val="0"/>
          <w:color w:val="000000"/>
          <w:sz w:val="24"/>
        </w:rPr>
        <w:t xml:space="preserve"> </w:t>
      </w:r>
    </w:p>
    <w:p w14:paraId="6C000000">
      <w:pPr>
        <w:spacing w:after="138" w:before="0"/>
        <w:ind w:firstLine="220" w:left="40" w:right="20"/>
        <w:jc w:val="center"/>
        <w:rPr>
          <w:sz w:val="24"/>
        </w:rPr>
      </w:pPr>
    </w:p>
    <w:p w14:paraId="6D000000">
      <w:pPr>
        <w:spacing w:after="138" w:before="0"/>
        <w:ind w:firstLine="220" w:left="40" w:right="20"/>
        <w:jc w:val="center"/>
        <w:rPr>
          <w:sz w:val="24"/>
        </w:rPr>
      </w:pPr>
    </w:p>
    <w:p w14:paraId="6E000000">
      <w:pPr>
        <w:spacing w:after="138" w:before="0"/>
        <w:ind w:firstLine="220" w:left="40" w:right="20"/>
        <w:jc w:val="center"/>
        <w:rPr>
          <w:sz w:val="24"/>
        </w:rPr>
      </w:pPr>
    </w:p>
    <w:p w14:paraId="6F000000">
      <w:pPr>
        <w:spacing w:after="138" w:before="0"/>
        <w:ind w:firstLine="220" w:left="40" w:right="20"/>
        <w:jc w:val="center"/>
        <w:rPr>
          <w:sz w:val="24"/>
        </w:rPr>
      </w:pPr>
    </w:p>
    <w:p w14:paraId="70000000">
      <w:pPr>
        <w:spacing w:after="138" w:before="0"/>
        <w:ind w:firstLine="220" w:left="40" w:right="20"/>
        <w:jc w:val="center"/>
        <w:rPr>
          <w:sz w:val="24"/>
        </w:rPr>
      </w:pPr>
    </w:p>
    <w:p w14:paraId="71000000">
      <w:pPr>
        <w:spacing w:after="138" w:before="0"/>
        <w:ind w:firstLine="220" w:left="40" w:right="20"/>
        <w:jc w:val="center"/>
        <w:rPr>
          <w:sz w:val="24"/>
        </w:rPr>
      </w:pPr>
    </w:p>
    <w:p w14:paraId="72000000">
      <w:pPr>
        <w:spacing w:after="138" w:before="0"/>
        <w:ind w:firstLine="220" w:left="40" w:right="20"/>
        <w:jc w:val="center"/>
        <w:rPr>
          <w:sz w:val="24"/>
        </w:rPr>
      </w:pPr>
    </w:p>
    <w:p w14:paraId="73000000">
      <w:pPr>
        <w:spacing w:after="138" w:before="0"/>
        <w:ind w:firstLine="220" w:left="40" w:right="20"/>
        <w:jc w:val="center"/>
        <w:rPr>
          <w:sz w:val="24"/>
        </w:rPr>
      </w:pPr>
    </w:p>
    <w:p w14:paraId="74000000">
      <w:pPr>
        <w:spacing w:after="138" w:before="0"/>
        <w:ind w:firstLine="220" w:left="40" w:right="20"/>
        <w:jc w:val="center"/>
        <w:rPr>
          <w:sz w:val="24"/>
        </w:rPr>
      </w:pPr>
    </w:p>
    <w:p w14:paraId="75000000">
      <w:pPr>
        <w:spacing w:after="138" w:before="0"/>
        <w:ind w:firstLine="220" w:left="40" w:right="20"/>
        <w:jc w:val="center"/>
        <w:rPr>
          <w:sz w:val="24"/>
        </w:rPr>
      </w:pPr>
    </w:p>
    <w:p w14:paraId="76000000">
      <w:pPr>
        <w:spacing w:after="138" w:before="0"/>
        <w:ind w:firstLine="220" w:left="40" w:right="20"/>
        <w:jc w:val="center"/>
        <w:rPr>
          <w:sz w:val="24"/>
        </w:rPr>
      </w:pPr>
    </w:p>
    <w:p w14:paraId="77000000">
      <w:pPr>
        <w:spacing w:after="138" w:before="0"/>
        <w:ind w:firstLine="220" w:left="40" w:right="20"/>
        <w:jc w:val="center"/>
        <w:rPr>
          <w:sz w:val="24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ТЕМАТИЧЕСКОЕ ПЛАНИРОВАНИЕ </w:t>
      </w:r>
    </w:p>
    <w:tbl>
      <w:tblPr>
        <w:tblInd w:type="dxa" w:w="4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01"/>
        <w:gridCol w:w="6017"/>
        <w:gridCol w:w="1666"/>
        <w:gridCol w:w="1684"/>
      </w:tblGrid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№п\п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Тема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Количество часов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Примечание</w:t>
            </w: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b w:val="1"/>
                <w:i w:val="1"/>
                <w:sz w:val="24"/>
              </w:rPr>
              <w:t>Логика алгебраических задач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10часов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sz w:val="24"/>
              </w:rPr>
              <w:t>Элементарные алгебраические задачи как предложения с переменными. Множество решений задач. Следование и равносильность (эквивален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ность) задач.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sz w:val="24"/>
              </w:rPr>
              <w:t>Уравнения с переменными. Числовые неравенства и неравенства с пер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менной. Свойства числовых неравенств.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3.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(составные) алгебраические задачи. Системы и совокупность задач.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4.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Алгебраические задачи с параметрами.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3ч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5.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Интерпретация задач с параметрами на координатной плоскости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3ч.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Многочлены и алгебраические уравнения.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24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6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о целых рациональных алгебраических выражениях. Многочлены над полями R, Q и над кольцом  Z. Степень многочлена. Кольца мн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гочленов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7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Делимость и деление многочленов с остатком. Алгоритмы деления  с оста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ком.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8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Теорема Безу. Корни многочленов. Следствия из теоремы Безу: теоремы о делимости на двучлен и о числе корней многочленов. Кратные корни.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9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Полностью разложимые многочлены и система Виета. Общая теорема Виета. Квадратичные неравенства: метод интервалов и схема знаков квадратн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трехчлена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10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Кубические многочлены. Теорема о существовании корня у полинома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четной степени. Угадывание корней и разложение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11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 суммы (разности). Линейная замена и укороченное кубическое уравн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12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анализ кубического уравнения х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+ ах – b. Неприводимый случай (три корня) и необходимость комплексных чисел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13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Уравнения степени 4. Биквадратные уравнения. Представление о методе замены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14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Линейная замена, основанная на симметрии. Угадывание корней. Разлож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ние. Метод неопределенных коэффициентов.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15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Полиномиальные уравнения высших степеней. Понижение степени заменой и разложением. 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1ч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16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Теоремы о рациональных корнях многочленов с целыми коэффициентами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2ч.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  <w:t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17</w:t>
            </w:r>
          </w:p>
        </w:tc>
        <w:tc>
          <w:tcPr>
            <w:tcW w:type="dxa" w:w="6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установления иррациональности и рациональности чисел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spacing w:val="6"/>
                <w:sz w:val="24"/>
              </w:rPr>
              <w:t>3ч.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after="138" w:line="360" w:lineRule="auto"/>
              <w:ind w:right="20"/>
              <w:jc w:val="both"/>
              <w:rPr>
                <w:rFonts w:ascii="Times New Roman" w:hAnsi="Times New Roman"/>
                <w:spacing w:val="6"/>
                <w:sz w:val="24"/>
              </w:rPr>
            </w:pPr>
          </w:p>
        </w:tc>
      </w:tr>
    </w:tbl>
    <w:p w14:paraId="C8000000">
      <w:pPr>
        <w:spacing w:after="138" w:before="0"/>
        <w:ind w:firstLine="220" w:left="40" w:right="20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pacing w:val="6"/>
          <w:sz w:val="24"/>
        </w:rPr>
        <w:t> </w:t>
      </w:r>
    </w:p>
    <w:p w14:paraId="C9000000">
      <w:pPr>
        <w:spacing w:after="0" w:before="0"/>
        <w:ind w:firstLine="0" w:left="0" w:right="20"/>
        <w:jc w:val="left"/>
        <w:rPr>
          <w:rFonts w:ascii="Calibri" w:hAnsi="Calibri"/>
          <w:b w:val="1"/>
          <w:color w:val="000000"/>
          <w:spacing w:val="5"/>
          <w:sz w:val="19"/>
          <w:highlight w:val="white"/>
        </w:rPr>
      </w:pPr>
      <w:r>
        <w:rPr>
          <w:rFonts w:ascii="Times New Roman" w:hAnsi="Times New Roman"/>
          <w:b w:val="1"/>
          <w:color w:val="000000"/>
          <w:spacing w:val="5"/>
          <w:sz w:val="24"/>
          <w:highlight w:val="white"/>
        </w:rPr>
        <w:t> </w:t>
      </w:r>
    </w:p>
    <w:p w14:paraId="CA000000">
      <w:pPr>
        <w:spacing w:after="200" w:before="0"/>
        <w:ind w:firstLine="0" w:left="0" w:right="0"/>
        <w:rPr>
          <w:rFonts w:ascii="Calibri" w:hAnsi="Calibri"/>
          <w:color w:val="000000"/>
          <w:sz w:val="22"/>
        </w:rPr>
      </w:pPr>
      <w:r>
        <w:rPr>
          <w:rFonts w:ascii="Calibri" w:hAnsi="Calibri"/>
          <w:b w:val="1"/>
          <w:color w:val="000000"/>
          <w:sz w:val="24"/>
          <w:u w:color="000000" w:val="single"/>
        </w:rPr>
        <w:t> </w:t>
      </w:r>
    </w:p>
    <w:p w14:paraId="CB000000">
      <w:pPr>
        <w:spacing w:after="200" w:before="0"/>
        <w:ind w:firstLine="0" w:left="0" w:right="0"/>
        <w:rPr>
          <w:rFonts w:ascii="Calibri" w:hAnsi="Calibri"/>
          <w:color w:val="000000"/>
          <w:sz w:val="22"/>
        </w:rPr>
      </w:pPr>
      <w:r>
        <w:rPr>
          <w:rFonts w:ascii="Calibri" w:hAnsi="Calibri"/>
          <w:b w:val="1"/>
          <w:color w:val="000000"/>
          <w:sz w:val="24"/>
        </w:rPr>
        <w:t>6</w:t>
      </w:r>
      <w:r>
        <w:rPr>
          <w:rFonts w:ascii="Calibri" w:hAnsi="Calibri"/>
          <w:color w:val="000000"/>
          <w:sz w:val="24"/>
        </w:rPr>
        <w:t xml:space="preserve">. </w:t>
      </w:r>
      <w:r>
        <w:rPr>
          <w:rFonts w:ascii="Calibri" w:hAnsi="Calibri"/>
          <w:b w:val="1"/>
          <w:color w:val="000000"/>
          <w:sz w:val="24"/>
        </w:rPr>
        <w:t>Литература</w:t>
      </w:r>
    </w:p>
    <w:p w14:paraId="CC000000">
      <w:pPr>
        <w:spacing w:after="0" w:before="0"/>
        <w:ind w:firstLine="0" w:left="40" w:right="23"/>
        <w:jc w:val="both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i w:val="1"/>
          <w:color w:val="000000"/>
          <w:spacing w:val="7"/>
          <w:sz w:val="24"/>
        </w:rPr>
        <w:t>1.Дрозина В. В., Дильман В. Л.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</w:rPr>
        <w:t>Механизм творчества решения нестандартных задач. — Москва: БИНОМ. Лаборатория зна­ний, 2010;</w:t>
      </w:r>
    </w:p>
    <w:p w14:paraId="CD000000">
      <w:pPr>
        <w:spacing w:after="200" w:before="0"/>
        <w:ind w:firstLine="0" w:left="0" w:right="0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color w:val="000000"/>
          <w:sz w:val="24"/>
        </w:rPr>
        <w:t>7.</w:t>
      </w:r>
      <w:r>
        <w:rPr>
          <w:rFonts w:ascii="Times New Roman" w:hAnsi="Times New Roman"/>
          <w:i w:val="0"/>
          <w:color w:val="000000"/>
          <w:sz w:val="24"/>
        </w:rPr>
        <w:t>Горнштейн. Задачи с параметрами.</w:t>
      </w:r>
      <w:r>
        <w:rPr>
          <w:rFonts w:ascii="Times New Roman" w:hAnsi="Times New Roman"/>
          <w:i w:val="0"/>
          <w:color w:val="000000"/>
          <w:sz w:val="24"/>
        </w:rPr>
        <w:t> </w:t>
      </w:r>
      <w:r>
        <w:rPr>
          <w:rFonts w:ascii="Times New Roman" w:hAnsi="Times New Roman"/>
          <w:i w:val="0"/>
          <w:color w:val="000000"/>
          <w:sz w:val="24"/>
        </w:rPr>
        <w:t xml:space="preserve"> Текст, 1992</w:t>
      </w:r>
      <w:r>
        <w:rPr>
          <w:rFonts w:ascii="Times New Roman" w:hAnsi="Times New Roman"/>
          <w:i w:val="0"/>
          <w:color w:val="000000"/>
          <w:sz w:val="24"/>
        </w:rPr>
        <w:t>г .</w:t>
      </w:r>
    </w:p>
    <w:p w14:paraId="CE000000">
      <w:pPr>
        <w:spacing w:after="200" w:before="0"/>
        <w:ind w:firstLine="0" w:left="0" w:right="0"/>
        <w:rPr>
          <w:rFonts w:ascii="Calibri" w:hAnsi="Calibri"/>
          <w:color w:val="000000"/>
          <w:sz w:val="22"/>
        </w:rPr>
      </w:pPr>
      <w:r>
        <w:rPr>
          <w:rFonts w:ascii="Calibri" w:hAnsi="Calibri"/>
          <w:i w:val="0"/>
          <w:color w:val="000000"/>
          <w:sz w:val="24"/>
        </w:rPr>
        <w:t>8.Федеральный институт педагогических измерений. Контрольные измерительные материалы (КИМ) по математике.</w:t>
      </w:r>
    </w:p>
    <w:p w14:paraId="CF000000">
      <w:pPr>
        <w:spacing w:after="200" w:before="0"/>
        <w:ind w:firstLine="0" w:left="0" w:right="0"/>
        <w:rPr>
          <w:rFonts w:ascii="Calibri" w:hAnsi="Calibri"/>
          <w:color w:val="000000"/>
          <w:sz w:val="22"/>
        </w:rPr>
      </w:pPr>
      <w:r>
        <w:rPr>
          <w:rFonts w:ascii="Calibri" w:hAnsi="Calibri"/>
          <w:i w:val="0"/>
          <w:color w:val="000000"/>
          <w:sz w:val="24"/>
        </w:rPr>
        <w:t>9. В.С.Малаховский. Избранные задачи элементарной математики. Калининград 2009г</w:t>
      </w:r>
    </w:p>
    <w:p w14:paraId="D0000000">
      <w:pPr>
        <w:spacing w:after="200" w:before="0"/>
        <w:ind w:firstLine="0" w:left="0" w:right="0"/>
        <w:rPr>
          <w:rFonts w:ascii="Calibri" w:hAnsi="Calibri"/>
          <w:color w:val="000000"/>
          <w:sz w:val="22"/>
        </w:rPr>
      </w:pPr>
      <w:r>
        <w:rPr>
          <w:rFonts w:ascii="Calibri" w:hAnsi="Calibri"/>
          <w:i w:val="0"/>
          <w:color w:val="000000"/>
          <w:sz w:val="24"/>
        </w:rPr>
        <w:t>10.Ю.И. Попов Алгебра . Методы и приемы решения задач элементарной математики.Калининград2006г.</w:t>
      </w:r>
    </w:p>
    <w:p w14:paraId="D1000000">
      <w:pPr>
        <w:spacing w:after="200" w:before="0"/>
        <w:ind w:firstLine="0" w:left="0" w:right="0"/>
        <w:rPr>
          <w:rFonts w:ascii="Calibri" w:hAnsi="Calibri"/>
          <w:color w:val="000000"/>
          <w:sz w:val="22"/>
        </w:rPr>
      </w:pPr>
      <w:r>
        <w:rPr>
          <w:rFonts w:ascii="Calibri" w:hAnsi="Calibri"/>
          <w:i w:val="0"/>
          <w:color w:val="000000"/>
          <w:sz w:val="24"/>
        </w:rPr>
        <w:t>11. Ю.И.Попов Стереометрия. Методы и приёмы решения задач. Калининград 2010г</w:t>
      </w:r>
    </w:p>
    <w:p w14:paraId="D2000000">
      <w:pPr>
        <w:spacing w:after="113" w:before="0"/>
        <w:ind w:firstLine="0" w:left="0" w:right="8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pacing w:val="5"/>
          <w:sz w:val="24"/>
        </w:rPr>
        <w:t> </w:t>
      </w:r>
    </w:p>
    <w:p w14:paraId="D3000000">
      <w:pPr>
        <w:spacing w:after="150" w:before="0"/>
        <w:ind w:firstLine="0" w:left="0" w:right="0"/>
        <w:rPr>
          <w:rFonts w:ascii="Calibri" w:hAnsi="Calibri"/>
          <w:color w:val="000000"/>
          <w:sz w:val="22"/>
          <w:highlight w:val="white"/>
        </w:rPr>
      </w:pPr>
      <w:r>
        <w:rPr>
          <w:rFonts w:ascii="Arial" w:hAnsi="Arial"/>
          <w:b w:val="1"/>
          <w:color w:val="000000"/>
          <w:sz w:val="21"/>
          <w:highlight w:val="white"/>
        </w:rPr>
        <w:t> </w:t>
      </w:r>
    </w:p>
    <w:p w14:paraId="D4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D5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D6000000">
      <w:pPr>
        <w:spacing w:after="150" w:before="0"/>
        <w:ind w:firstLine="0" w:left="0" w:right="0"/>
        <w:rPr>
          <w:rFonts w:ascii="Calibri" w:hAnsi="Calibri"/>
          <w:color w:val="000000"/>
          <w:sz w:val="22"/>
          <w:highlight w:val="white"/>
        </w:rPr>
      </w:pPr>
      <w:r>
        <w:rPr>
          <w:rFonts w:ascii="Calibri" w:hAnsi="Calibri"/>
          <w:color w:val="000000"/>
          <w:sz w:val="24"/>
          <w:highlight w:val="white"/>
        </w:rPr>
        <w:t> </w:t>
      </w:r>
    </w:p>
    <w:p w14:paraId="D7000000">
      <w:pPr>
        <w:rPr>
          <w:color w:val="000000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2024-09-26T00:56:49Z</dcterms:modified>
</cp:coreProperties>
</file>