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9666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МИНИСТЕРСТВО</w:t>
      </w:r>
      <w:r w:rsidRPr="00CA093C">
        <w:rPr>
          <w:rFonts w:ascii="Times New Roman" w:eastAsia="Times New Roman" w:hAnsi="Times New Roman" w:cs="Times New Roman"/>
          <w:color w:val="000000"/>
          <w:spacing w:val="-11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ПРОСВЕЩЕНИЯ</w:t>
      </w:r>
      <w:r w:rsidRPr="00CA093C">
        <w:rPr>
          <w:rFonts w:ascii="Times New Roman" w:eastAsia="Times New Roman" w:hAnsi="Times New Roman" w:cs="Times New Roman"/>
          <w:color w:val="000000"/>
          <w:spacing w:val="-11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РОССИЙСКОЙ</w:t>
      </w:r>
      <w:r w:rsidRPr="00CA093C">
        <w:rPr>
          <w:rFonts w:ascii="Times New Roman" w:eastAsia="Times New Roman" w:hAnsi="Times New Roman" w:cs="Times New Roman"/>
          <w:color w:val="000000"/>
          <w:spacing w:val="-11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color w:val="000000"/>
          <w:spacing w:val="-2"/>
          <w:szCs w:val="20"/>
          <w:lang w:eastAsia="ru-RU"/>
        </w:rPr>
        <w:t>ФЕДЕРАЦИИ</w:t>
      </w:r>
    </w:p>
    <w:p w14:paraId="51E49FFE" w14:textId="77777777" w:rsidR="00CA093C" w:rsidRPr="00CA093C" w:rsidRDefault="00CA093C" w:rsidP="00CA093C">
      <w:pPr>
        <w:spacing w:after="0" w:line="240" w:lineRule="atLeast"/>
        <w:ind w:left="1670" w:right="1518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4ADAC46A" w14:textId="77777777" w:rsidR="00CA093C" w:rsidRPr="00CA093C" w:rsidRDefault="00CA093C" w:rsidP="00CA093C">
      <w:pPr>
        <w:spacing w:after="0" w:line="240" w:lineRule="atLeast"/>
        <w:ind w:left="1670" w:right="1518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Министерство</w:t>
      </w:r>
      <w:r w:rsidRPr="00CA093C">
        <w:rPr>
          <w:rFonts w:ascii="Times New Roman" w:eastAsia="Times New Roman" w:hAnsi="Times New Roman" w:cs="Times New Roman"/>
          <w:b/>
          <w:color w:val="000000"/>
          <w:spacing w:val="-5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образования</w:t>
      </w:r>
      <w:r w:rsidRPr="00CA093C">
        <w:rPr>
          <w:rFonts w:ascii="Times New Roman" w:eastAsia="Times New Roman" w:hAnsi="Times New Roman" w:cs="Times New Roman"/>
          <w:b/>
          <w:color w:val="000000"/>
          <w:spacing w:val="-6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Республики Тыва</w:t>
      </w:r>
    </w:p>
    <w:p w14:paraId="45ADFAFD" w14:textId="77777777" w:rsidR="00CA093C" w:rsidRPr="00CA093C" w:rsidRDefault="00CA093C" w:rsidP="00CA093C">
      <w:pPr>
        <w:spacing w:after="0" w:line="240" w:lineRule="atLeast"/>
        <w:ind w:left="1626" w:right="1518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Департамент по образованию Мэрии г.Кызыла</w:t>
      </w:r>
    </w:p>
    <w:p w14:paraId="3E8285A4" w14:textId="77777777" w:rsidR="00CA093C" w:rsidRPr="00CA093C" w:rsidRDefault="00CA093C" w:rsidP="00CA09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Муниципальное бюджетное общеобразовательное учреждение</w:t>
      </w:r>
    </w:p>
    <w:p w14:paraId="304DB43A" w14:textId="77777777" w:rsidR="00CA093C" w:rsidRPr="00CA093C" w:rsidRDefault="00CA093C" w:rsidP="00CA09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«Средняя общеобразовательная школа № 20 имени Героев Отечества</w:t>
      </w:r>
    </w:p>
    <w:p w14:paraId="3007F222" w14:textId="77777777" w:rsidR="00CA093C" w:rsidRPr="00CA093C" w:rsidRDefault="00CA093C" w:rsidP="00CA09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города Кызыла Республики Тыва</w:t>
      </w:r>
    </w:p>
    <w:p w14:paraId="3BE0CCC2" w14:textId="77777777" w:rsidR="00CA093C" w:rsidRPr="00CA093C" w:rsidRDefault="00CA093C" w:rsidP="00CA09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«МБОУ СОШ №20 им. Героев Отечества» г. Кызыла</w:t>
      </w:r>
    </w:p>
    <w:p w14:paraId="3A1BF01D" w14:textId="77777777" w:rsidR="00CA093C" w:rsidRPr="00CA093C" w:rsidRDefault="00CA093C" w:rsidP="00CA09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_____________________________________________________________________________</w:t>
      </w:r>
    </w:p>
    <w:p w14:paraId="5CD766DE" w14:textId="77777777" w:rsidR="00CA093C" w:rsidRPr="00CA093C" w:rsidRDefault="00CA093C" w:rsidP="00CA093C">
      <w:pPr>
        <w:spacing w:after="0" w:line="240" w:lineRule="atLeast"/>
        <w:ind w:left="-589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Республика Тыва, г. Кызыл, ул. Большеенисейская, зд</w:t>
      </w:r>
      <w:bookmarkStart w:id="0" w:name="_GoBack"/>
      <w:bookmarkEnd w:id="0"/>
      <w:r w:rsidRPr="00CA093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. 2 </w:t>
      </w:r>
    </w:p>
    <w:p w14:paraId="4E9246C9" w14:textId="77777777" w:rsidR="00CA093C" w:rsidRPr="00CA093C" w:rsidRDefault="00CA093C" w:rsidP="00CA093C">
      <w:pPr>
        <w:spacing w:after="0" w:line="276" w:lineRule="auto"/>
        <w:ind w:left="120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093C" w:rsidRPr="00CA093C" w14:paraId="758F90A3" w14:textId="77777777" w:rsidTr="003C331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BB0" w14:textId="77777777" w:rsidR="00CA093C" w:rsidRPr="00CA093C" w:rsidRDefault="00CA093C" w:rsidP="00CA093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РАССМОТРЕНО</w:t>
            </w:r>
          </w:p>
          <w:p w14:paraId="463FF3A4" w14:textId="77777777" w:rsidR="00CA093C" w:rsidRPr="00CA093C" w:rsidRDefault="00CA093C" w:rsidP="00CA093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Методическим объединением учителей математиков</w:t>
            </w:r>
          </w:p>
          <w:p w14:paraId="1E72B937" w14:textId="77777777" w:rsidR="00CA093C" w:rsidRPr="00CA093C" w:rsidRDefault="00CA093C" w:rsidP="00CA09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</w:t>
            </w:r>
          </w:p>
          <w:p w14:paraId="32383644" w14:textId="77777777" w:rsidR="00CA093C" w:rsidRPr="00CA093C" w:rsidRDefault="00CA093C" w:rsidP="00CA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[</w:t>
            </w:r>
            <w:proofErr w:type="spellStart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Ч.С.]</w:t>
            </w:r>
          </w:p>
          <w:p w14:paraId="3186ACE4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 _____</w:t>
            </w:r>
          </w:p>
          <w:p w14:paraId="16A366AB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«29» августа 2024 г.</w:t>
            </w:r>
          </w:p>
          <w:p w14:paraId="15A67EAC" w14:textId="77777777" w:rsidR="00CA093C" w:rsidRPr="00CA093C" w:rsidRDefault="00CA093C" w:rsidP="00CA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F564A14" w14:textId="77777777" w:rsidR="00CA093C" w:rsidRPr="00CA093C" w:rsidRDefault="00CA093C" w:rsidP="00CA09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A095" w14:textId="77777777" w:rsidR="00CA093C" w:rsidRPr="00CA093C" w:rsidRDefault="00CA093C" w:rsidP="00CA093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</w:p>
          <w:p w14:paraId="5B713A43" w14:textId="77777777" w:rsidR="00CA093C" w:rsidRPr="00CA093C" w:rsidRDefault="00CA093C" w:rsidP="00CA093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НМР </w:t>
            </w:r>
          </w:p>
          <w:p w14:paraId="21D4F6C8" w14:textId="77777777" w:rsidR="00CA093C" w:rsidRPr="00CA093C" w:rsidRDefault="00CA093C" w:rsidP="00CA09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________________________ </w:t>
            </w:r>
          </w:p>
          <w:p w14:paraId="020C135A" w14:textId="77777777" w:rsidR="00CA093C" w:rsidRPr="00CA093C" w:rsidRDefault="00CA093C" w:rsidP="00CA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[</w:t>
            </w:r>
            <w:proofErr w:type="spellStart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Донгак</w:t>
            </w:r>
            <w:proofErr w:type="spellEnd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Ч.В.]</w:t>
            </w:r>
          </w:p>
          <w:p w14:paraId="244F1C1E" w14:textId="77777777" w:rsidR="00CA093C" w:rsidRPr="00CA093C" w:rsidRDefault="00CA093C" w:rsidP="00CA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9F67C20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№______</w:t>
            </w:r>
          </w:p>
          <w:p w14:paraId="50049E35" w14:textId="77777777" w:rsidR="00CA093C" w:rsidRPr="00CA093C" w:rsidRDefault="00CA093C" w:rsidP="00CA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«30» августа 2024г</w:t>
            </w:r>
          </w:p>
          <w:p w14:paraId="5C363523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6A17069" w14:textId="77777777" w:rsidR="00CA093C" w:rsidRPr="00CA093C" w:rsidRDefault="00CA093C" w:rsidP="00CA09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26D1" w14:textId="77777777" w:rsidR="00CA093C" w:rsidRPr="00CA093C" w:rsidRDefault="00CA093C" w:rsidP="00CA093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УТВЕРЖДЕНО</w:t>
            </w:r>
          </w:p>
          <w:p w14:paraId="4277DC05" w14:textId="77777777" w:rsidR="00CA093C" w:rsidRPr="00CA093C" w:rsidRDefault="00CA093C" w:rsidP="00CA09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  <w:p w14:paraId="0B407939" w14:textId="77777777" w:rsidR="00CA093C" w:rsidRPr="00CA093C" w:rsidRDefault="00CA093C" w:rsidP="00CA09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377252C" w14:textId="77777777" w:rsidR="00CA093C" w:rsidRPr="00CA093C" w:rsidRDefault="00CA093C" w:rsidP="00CA09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_______________________ </w:t>
            </w:r>
          </w:p>
          <w:p w14:paraId="4CD9DBEE" w14:textId="77777777" w:rsidR="00CA093C" w:rsidRPr="00CA093C" w:rsidRDefault="00CA093C" w:rsidP="00CA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[</w:t>
            </w:r>
            <w:proofErr w:type="spellStart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Попугалов</w:t>
            </w:r>
            <w:proofErr w:type="spellEnd"/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Д.С.]</w:t>
            </w:r>
          </w:p>
          <w:p w14:paraId="5CD71639" w14:textId="77777777" w:rsidR="00CA093C" w:rsidRPr="00CA093C" w:rsidRDefault="00CA093C" w:rsidP="00CA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27C5D9A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Приказ №______</w:t>
            </w:r>
          </w:p>
          <w:p w14:paraId="381FAF11" w14:textId="77777777" w:rsidR="00CA093C" w:rsidRPr="00CA093C" w:rsidRDefault="00CA093C" w:rsidP="00CA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«30» августа 2024г</w:t>
            </w:r>
          </w:p>
          <w:p w14:paraId="328BFC03" w14:textId="77777777" w:rsidR="00CA093C" w:rsidRPr="00CA093C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F4FDAF4" w14:textId="77777777" w:rsidR="00CA093C" w:rsidRPr="00CA093C" w:rsidRDefault="00CA093C" w:rsidP="00CA09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FACC0CB" w14:textId="77777777" w:rsidR="00CA093C" w:rsidRPr="00CA093C" w:rsidRDefault="00CA093C" w:rsidP="00CA093C">
      <w:pPr>
        <w:spacing w:after="0" w:line="276" w:lineRule="auto"/>
        <w:ind w:left="120"/>
        <w:rPr>
          <w:rFonts w:eastAsia="Times New Roman" w:cs="Times New Roman"/>
          <w:color w:val="000000"/>
          <w:szCs w:val="20"/>
          <w:lang w:eastAsia="ru-RU"/>
        </w:rPr>
      </w:pPr>
    </w:p>
    <w:p w14:paraId="416CDDB9" w14:textId="77777777" w:rsidR="00CA093C" w:rsidRPr="00CA093C" w:rsidRDefault="00CA093C" w:rsidP="00CA093C">
      <w:pPr>
        <w:spacing w:after="0" w:line="276" w:lineRule="auto"/>
        <w:ind w:left="120"/>
        <w:rPr>
          <w:rFonts w:eastAsia="Times New Roman" w:cs="Times New Roman"/>
          <w:color w:val="000000"/>
          <w:szCs w:val="20"/>
          <w:lang w:eastAsia="ru-RU"/>
        </w:rPr>
      </w:pPr>
    </w:p>
    <w:p w14:paraId="0882E1F8" w14:textId="77777777" w:rsidR="00CA093C" w:rsidRPr="00CA093C" w:rsidRDefault="00CA093C" w:rsidP="00CA093C">
      <w:pPr>
        <w:spacing w:after="0" w:line="276" w:lineRule="auto"/>
        <w:ind w:left="120"/>
        <w:rPr>
          <w:rFonts w:eastAsia="Times New Roman" w:cs="Times New Roman"/>
          <w:color w:val="000000"/>
          <w:szCs w:val="20"/>
          <w:lang w:eastAsia="ru-RU"/>
        </w:rPr>
      </w:pPr>
    </w:p>
    <w:p w14:paraId="20239FD1" w14:textId="77777777" w:rsidR="00CA093C" w:rsidRPr="00CA093C" w:rsidRDefault="00CA093C" w:rsidP="00CA093C">
      <w:pPr>
        <w:spacing w:after="0" w:line="276" w:lineRule="auto"/>
        <w:ind w:left="120"/>
        <w:rPr>
          <w:rFonts w:eastAsia="Times New Roman" w:cs="Times New Roman"/>
          <w:color w:val="000000"/>
          <w:szCs w:val="20"/>
          <w:lang w:eastAsia="ru-RU"/>
        </w:rPr>
      </w:pPr>
    </w:p>
    <w:p w14:paraId="2F15A7DB" w14:textId="49D41A1E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</w:p>
    <w:p w14:paraId="6CD53EA5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2E339A47" w14:textId="77777777" w:rsidR="00CA093C" w:rsidRDefault="00CA093C" w:rsidP="00CA093C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CA093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элективного курса по математике </w:t>
      </w:r>
      <w:bookmarkStart w:id="1" w:name="_Hlk178169430"/>
      <w:r w:rsidRPr="00CA093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«Решение экзаменационных задач</w:t>
      </w:r>
    </w:p>
    <w:p w14:paraId="6CD054C3" w14:textId="0DE891F2" w:rsidR="00CA093C" w:rsidRPr="00CA093C" w:rsidRDefault="00CA093C" w:rsidP="00CA093C">
      <w:pPr>
        <w:spacing w:after="0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 математике базового уровня»</w:t>
      </w:r>
      <w:bookmarkEnd w:id="1"/>
    </w:p>
    <w:p w14:paraId="0F50B960" w14:textId="10F33B3F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обучающихся 11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«А»</w:t>
      </w:r>
      <w:r w:rsidRPr="00CA09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класса </w:t>
      </w:r>
    </w:p>
    <w:p w14:paraId="26E44728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1E8A949D" w14:textId="77777777" w:rsidR="00CA093C" w:rsidRPr="00CA093C" w:rsidRDefault="00CA093C" w:rsidP="00CA093C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0"/>
          <w:lang w:eastAsia="ru-RU"/>
        </w:rPr>
      </w:pPr>
      <w:proofErr w:type="gramStart"/>
      <w:r w:rsidRPr="00CA093C">
        <w:rPr>
          <w:rFonts w:ascii="Times New Roman" w:eastAsia="Times New Roman" w:hAnsi="Times New Roman" w:cs="Times New Roman"/>
          <w:caps/>
          <w:color w:val="000000"/>
          <w:sz w:val="24"/>
          <w:szCs w:val="20"/>
          <w:lang w:eastAsia="ru-RU"/>
        </w:rPr>
        <w:t>на  2024</w:t>
      </w:r>
      <w:proofErr w:type="gramEnd"/>
      <w:r w:rsidRPr="00CA093C">
        <w:rPr>
          <w:rFonts w:ascii="Times New Roman" w:eastAsia="Times New Roman" w:hAnsi="Times New Roman" w:cs="Times New Roman"/>
          <w:caps/>
          <w:color w:val="000000"/>
          <w:sz w:val="24"/>
          <w:szCs w:val="20"/>
          <w:lang w:eastAsia="ru-RU"/>
        </w:rPr>
        <w:t>-2025 учебный год</w:t>
      </w:r>
    </w:p>
    <w:p w14:paraId="191E9BE5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464F504C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6BC83E9C" w14:textId="77777777" w:rsidR="00CA093C" w:rsidRPr="00CA093C" w:rsidRDefault="00CA093C" w:rsidP="00CA093C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7C16E00D" w14:textId="30389C27" w:rsidR="00CA093C" w:rsidRPr="00CA093C" w:rsidRDefault="00CA093C" w:rsidP="00CA093C">
      <w:pPr>
        <w:tabs>
          <w:tab w:val="left" w:pos="630"/>
          <w:tab w:val="center" w:pos="4677"/>
        </w:tabs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CA09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Чооду Чодураа Кунакайевна</w:t>
      </w:r>
    </w:p>
    <w:p w14:paraId="149E5CD2" w14:textId="06CB462F" w:rsidR="00CA093C" w:rsidRPr="00CA093C" w:rsidRDefault="00CA093C" w:rsidP="00CA093C">
      <w:pPr>
        <w:tabs>
          <w:tab w:val="left" w:pos="630"/>
          <w:tab w:val="center" w:pos="4677"/>
        </w:tabs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A5B8EC7" w14:textId="77D78379" w:rsidR="00CA093C" w:rsidRPr="00CA093C" w:rsidRDefault="00CA093C" w:rsidP="00CA093C">
      <w:pPr>
        <w:tabs>
          <w:tab w:val="left" w:pos="630"/>
          <w:tab w:val="center" w:pos="4677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5811B65" w14:textId="77777777" w:rsidR="00CA093C" w:rsidRPr="00CA093C" w:rsidRDefault="00CA093C" w:rsidP="00CA093C">
      <w:pPr>
        <w:tabs>
          <w:tab w:val="left" w:pos="630"/>
          <w:tab w:val="center" w:pos="4677"/>
        </w:tabs>
        <w:spacing w:after="20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504C6E4" w14:textId="77777777" w:rsidR="00CA093C" w:rsidRPr="00CA093C" w:rsidRDefault="00CA093C" w:rsidP="00CA093C">
      <w:pPr>
        <w:tabs>
          <w:tab w:val="left" w:pos="630"/>
          <w:tab w:val="center" w:pos="4677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1D48F3E" w14:textId="79006F9C" w:rsidR="00CA093C" w:rsidRPr="00CA093C" w:rsidRDefault="00CA093C" w:rsidP="00CA093C">
      <w:pPr>
        <w:tabs>
          <w:tab w:val="left" w:pos="630"/>
          <w:tab w:val="center" w:pos="4677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A093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КЫЗЫЛ, 2024</w:t>
      </w:r>
    </w:p>
    <w:p w14:paraId="7A2182CD" w14:textId="54720129" w:rsidR="005C6CCB" w:rsidRPr="005C6CCB" w:rsidRDefault="005C6CCB" w:rsidP="00AD0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2A3DA0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                               Данная рабочая программа разработана на основе: </w:t>
      </w:r>
    </w:p>
    <w:p w14:paraId="12EFF338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1. 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17.05. 2012 г. № 413 «Об утверждении федерального государственного образовательного стандарта среднего общего образования» (Зарегистрировано Минюстом РФ 07.06.2012 г. № 24480), в ред. Приказов Министерства образования и науки РФ от 29.12.2014 г. № 1645, от 31.12.2015 г. № 1578, от 29.06.2017 г. № 613); </w:t>
      </w:r>
    </w:p>
    <w:p w14:paraId="1A52797F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2.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Примерной программы по алгебре и началам математического анализа по учебнику Ш.А. Алимова, </w:t>
      </w:r>
      <w:proofErr w:type="spellStart"/>
      <w:r w:rsidRPr="005C6CCB">
        <w:rPr>
          <w:rFonts w:ascii="Times New Roman" w:hAnsi="Times New Roman" w:cs="Times New Roman"/>
          <w:b/>
          <w:sz w:val="24"/>
          <w:szCs w:val="24"/>
        </w:rPr>
        <w:t>Ю.М.Колягина</w:t>
      </w:r>
      <w:proofErr w:type="spellEnd"/>
      <w:r w:rsidRPr="005C6C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6CCB">
        <w:rPr>
          <w:rFonts w:ascii="Times New Roman" w:hAnsi="Times New Roman" w:cs="Times New Roman"/>
          <w:b/>
          <w:sz w:val="24"/>
          <w:szCs w:val="24"/>
        </w:rPr>
        <w:t>М.В.Ткачёвой</w:t>
      </w:r>
      <w:proofErr w:type="spellEnd"/>
      <w:r w:rsidRPr="005C6CCB">
        <w:rPr>
          <w:rFonts w:ascii="Times New Roman" w:hAnsi="Times New Roman" w:cs="Times New Roman"/>
          <w:b/>
          <w:sz w:val="24"/>
          <w:szCs w:val="24"/>
        </w:rPr>
        <w:t xml:space="preserve"> и др.</w:t>
      </w:r>
      <w:r w:rsidRPr="005C6CCB">
        <w:rPr>
          <w:rFonts w:ascii="Times New Roman" w:hAnsi="Times New Roman" w:cs="Times New Roman"/>
          <w:sz w:val="24"/>
          <w:szCs w:val="24"/>
        </w:rPr>
        <w:t xml:space="preserve"> «Алгебра и начала математического анализа. Сборник рабочих программ 10– 11 классы: учебное пособие для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. учреждений»: М: Просвещение, 2018. Составитель Т. А.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 и примерной программы по геометрии по учебнику Л.С.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, С.Б. Кадомцева и др. «Геометрия. Сборник рабочих программ 10– 11 классы: учебное пособие для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. учреждений»: М: Просвещение, 2018. Составитель Т. А. </w:t>
      </w:r>
      <w:proofErr w:type="spellStart"/>
      <w:r w:rsidRPr="005C6CCB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5C6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BC1EB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Данная программа ориентирована на использование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учебника Ш.А. Алимов, </w:t>
      </w:r>
      <w:proofErr w:type="spellStart"/>
      <w:r w:rsidRPr="005C6CCB">
        <w:rPr>
          <w:rFonts w:ascii="Times New Roman" w:hAnsi="Times New Roman" w:cs="Times New Roman"/>
          <w:b/>
          <w:sz w:val="24"/>
          <w:szCs w:val="24"/>
        </w:rPr>
        <w:t>Ю.М.Колягин</w:t>
      </w:r>
      <w:proofErr w:type="spellEnd"/>
      <w:r w:rsidRPr="005C6C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6CCB">
        <w:rPr>
          <w:rFonts w:ascii="Times New Roman" w:hAnsi="Times New Roman" w:cs="Times New Roman"/>
          <w:b/>
          <w:sz w:val="24"/>
          <w:szCs w:val="24"/>
        </w:rPr>
        <w:t>М.В.Ткачёва</w:t>
      </w:r>
      <w:proofErr w:type="spellEnd"/>
      <w:r w:rsidRPr="005C6CCB">
        <w:rPr>
          <w:rFonts w:ascii="Times New Roman" w:hAnsi="Times New Roman" w:cs="Times New Roman"/>
          <w:b/>
          <w:sz w:val="24"/>
          <w:szCs w:val="24"/>
        </w:rPr>
        <w:t xml:space="preserve"> и др. «Математика: алгебра и начала математического анализа, геометрия. Алгебра и начала математического анализа. 10 – 11 классы. Базовый и углублённый уровни»:</w:t>
      </w:r>
      <w:r w:rsidRPr="005C6CCB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 / М., Просвещение, 2023 г. и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учебника Л.С. </w:t>
      </w:r>
      <w:proofErr w:type="spellStart"/>
      <w:r w:rsidRPr="005C6CCB">
        <w:rPr>
          <w:rFonts w:ascii="Times New Roman" w:hAnsi="Times New Roman" w:cs="Times New Roman"/>
          <w:b/>
          <w:sz w:val="24"/>
          <w:szCs w:val="24"/>
        </w:rPr>
        <w:t>Атанасян</w:t>
      </w:r>
      <w:proofErr w:type="spellEnd"/>
      <w:r w:rsidRPr="005C6CCB">
        <w:rPr>
          <w:rFonts w:ascii="Times New Roman" w:hAnsi="Times New Roman" w:cs="Times New Roman"/>
          <w:b/>
          <w:sz w:val="24"/>
          <w:szCs w:val="24"/>
        </w:rPr>
        <w:t>, В.Ф. Бутузов, С.Б. Кадомцев и др. «Математика: алгебра и начала математического анализа, геометрия. Геометрия. 10 – 11 классы. Базовый и углублённый уровни»:</w:t>
      </w:r>
      <w:r w:rsidRPr="005C6CCB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 / М., Просвещение, 2023 г.</w:t>
      </w:r>
    </w:p>
    <w:p w14:paraId="031B4AD6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На изучение курса отводится 1 ч в неделю, 34 ч в 11 классе (34 учебные недели).</w:t>
      </w:r>
    </w:p>
    <w:p w14:paraId="4912ADE3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 xml:space="preserve">Цель курса: </w:t>
      </w:r>
    </w:p>
    <w:p w14:paraId="6CA5B58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дополнительная подготовка учащихся 11 класса к государственной итоговой аттестации в форме ЕГЭ, к продолжению образования. Курс призван помочь учащимся с любой степенью подготовленности в овладении способами деятельности, методами и приемами решения математических задач, повысить уровень математической культуры, способствует развитию познавательных интересов, мышления учащихся, умению оценить свой потенциал для дальнейшего обучения. </w:t>
      </w:r>
    </w:p>
    <w:p w14:paraId="2C31171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>Задачи курса:</w:t>
      </w:r>
      <w:r w:rsidRPr="005C6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09A1C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sym w:font="Symbol" w:char="F0B7"/>
      </w:r>
      <w:r w:rsidRPr="005C6CCB">
        <w:rPr>
          <w:rFonts w:ascii="Times New Roman" w:hAnsi="Times New Roman" w:cs="Times New Roman"/>
          <w:sz w:val="24"/>
          <w:szCs w:val="24"/>
        </w:rPr>
        <w:t xml:space="preserve"> закрепить имеющиеся представления у учащихся об основных методах решения математических задач; </w:t>
      </w:r>
    </w:p>
    <w:p w14:paraId="1935179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sym w:font="Symbol" w:char="F0B7"/>
      </w:r>
      <w:r w:rsidRPr="005C6CCB">
        <w:rPr>
          <w:rFonts w:ascii="Times New Roman" w:hAnsi="Times New Roman" w:cs="Times New Roman"/>
          <w:sz w:val="24"/>
          <w:szCs w:val="24"/>
        </w:rPr>
        <w:t xml:space="preserve"> формировать «способность абстрагировать, обобщать, находить пути решения поставленной задачи», выработать «умение делать выводы»; </w:t>
      </w:r>
    </w:p>
    <w:p w14:paraId="24D5BEAA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sym w:font="Symbol" w:char="F0B7"/>
      </w:r>
      <w:r w:rsidRPr="005C6CCB">
        <w:rPr>
          <w:rFonts w:ascii="Times New Roman" w:hAnsi="Times New Roman" w:cs="Times New Roman"/>
          <w:sz w:val="24"/>
          <w:szCs w:val="24"/>
        </w:rPr>
        <w:t xml:space="preserve"> выработать «умение анализировать объект, вычленять его сущность, отвлекаясь от несущественных деталей, выделять из него частные случаи».</w:t>
      </w:r>
    </w:p>
    <w:p w14:paraId="370040F2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85EC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4E9C4F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670E0" w14:textId="77777777" w:rsidR="005C6CCB" w:rsidRPr="005C6CCB" w:rsidRDefault="005C6CCB" w:rsidP="00AD0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</w:p>
    <w:p w14:paraId="47C7B314" w14:textId="77777777" w:rsid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>Изучение элективного курса «</w:t>
      </w:r>
      <w:r w:rsidRPr="005C6CCB">
        <w:rPr>
          <w:rFonts w:ascii="Times New Roman" w:hAnsi="Times New Roman" w:cs="Times New Roman"/>
          <w:b/>
          <w:sz w:val="24"/>
          <w:szCs w:val="24"/>
        </w:rPr>
        <w:t>«Решение экзаменационных задач по математике базового уровня»</w:t>
      </w:r>
      <w:r w:rsidRPr="005C6CCB">
        <w:rPr>
          <w:rFonts w:ascii="Times New Roman" w:hAnsi="Times New Roman" w:cs="Times New Roman"/>
          <w:sz w:val="24"/>
          <w:szCs w:val="24"/>
        </w:rPr>
        <w:t xml:space="preserve">» дает возможность учащимся 11 -х классов достичь следующих результатов:                    </w:t>
      </w:r>
    </w:p>
    <w:p w14:paraId="7E953B34" w14:textId="32B0E82C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b/>
          <w:i/>
          <w:sz w:val="24"/>
          <w:szCs w:val="24"/>
        </w:rPr>
        <w:t>Личностным результатом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CCB">
        <w:rPr>
          <w:rFonts w:ascii="Times New Roman" w:hAnsi="Times New Roman" w:cs="Times New Roman"/>
          <w:sz w:val="24"/>
          <w:szCs w:val="24"/>
        </w:rPr>
        <w:t xml:space="preserve">изучения курса является формирование следующих умений и качеств с учётом Программы воспитания: </w:t>
      </w:r>
    </w:p>
    <w:p w14:paraId="3E0D479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lastRenderedPageBreak/>
        <w:t xml:space="preserve">       1)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 </w:t>
      </w:r>
    </w:p>
    <w:p w14:paraId="1E7FE53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2) критичность мышления, умение распознавать логически некорректные высказывания, отличать гипотезу от факта; </w:t>
      </w:r>
    </w:p>
    <w:p w14:paraId="2B8835E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3) 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14:paraId="2388EC76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4) креативность мышления, инициатива, находчивость, активность при решении математических задач;</w:t>
      </w:r>
    </w:p>
    <w:p w14:paraId="56E422EA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5) умение контролировать процесс и результат учебной математической деятельности; </w:t>
      </w:r>
    </w:p>
    <w:p w14:paraId="091C3FC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6) способность к эмоциональному восприятию математических объектов, задач, решений, рассуждений; </w:t>
      </w:r>
    </w:p>
    <w:p w14:paraId="1BC6934D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7) воля и настойчивость в достижении цели. </w:t>
      </w:r>
    </w:p>
    <w:p w14:paraId="2C0DAFB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C6CCB">
        <w:rPr>
          <w:rFonts w:ascii="Times New Roman" w:hAnsi="Times New Roman" w:cs="Times New Roman"/>
          <w:b/>
          <w:i/>
          <w:sz w:val="24"/>
          <w:szCs w:val="24"/>
        </w:rPr>
        <w:t>Метапредметным результатом</w:t>
      </w:r>
      <w:r w:rsidRPr="005C6CCB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универсальных учебных действий (УУД). </w:t>
      </w:r>
    </w:p>
    <w:p w14:paraId="2419CE0D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1)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14:paraId="0D029DC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2) умение видеть математическую задачу в контексте проблемной ситуации в других дисциплинах, в окружающей жизни; </w:t>
      </w:r>
    </w:p>
    <w:p w14:paraId="386B4843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3)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 </w:t>
      </w:r>
    </w:p>
    <w:p w14:paraId="06C006F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4)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 </w:t>
      </w:r>
    </w:p>
    <w:p w14:paraId="0FD6DB7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5) умение выдвигать гипотезы при решение учебных задач и понимать необходимость их проверки; </w:t>
      </w:r>
    </w:p>
    <w:p w14:paraId="40AD1EA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6) умение применять индуктивные и дедуктивные способы рассуждений, видеть различные стратегии решения задач; </w:t>
      </w:r>
    </w:p>
    <w:p w14:paraId="4C7D7A4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7) понимание сущности алгоритмических предписаний и умение действовать в соответствии с предложенным алгоритмом; </w:t>
      </w:r>
    </w:p>
    <w:p w14:paraId="04C9DE6D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8) умение самостоятельно ставить цели, выбирать и создавать алгоритмы для решения учебных математических проблем; </w:t>
      </w:r>
    </w:p>
    <w:p w14:paraId="4F66B824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9) умение планировать и осуществлять деятельность, направленную на решение задач исследовательского характера; </w:t>
      </w:r>
    </w:p>
    <w:p w14:paraId="32B30DED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6CCB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C6CCB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  <w:r w:rsidRPr="005C6C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2A169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1) самостоятельно обнаруживать и формулировать учебную проблему, определять цель УУД; </w:t>
      </w:r>
    </w:p>
    <w:p w14:paraId="5BB0678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2)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 </w:t>
      </w:r>
    </w:p>
    <w:p w14:paraId="197FADDC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3) составлять (индивидуально или в группе) план решения проблемы (выполнения проекта); </w:t>
      </w:r>
    </w:p>
    <w:p w14:paraId="523D9D46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4) работая по плану, сверять свои действия с целью и при необходимости исправлять ошибки самостоятельно (в том числе и корректировать план); </w:t>
      </w:r>
    </w:p>
    <w:p w14:paraId="20C763CB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5) в диалоге с учителем совершенствовать самостоятельно выбранные критерии оценки; </w:t>
      </w:r>
    </w:p>
    <w:p w14:paraId="1C4C22AA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6CCB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  <w:r w:rsidRPr="005C6C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FDA84E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1) проводить наблюдение и эксперимент под руководством учителя; </w:t>
      </w:r>
    </w:p>
    <w:p w14:paraId="6D29BE7A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lastRenderedPageBreak/>
        <w:t xml:space="preserve">        2) осуществлять расширенный поиск информации с использованием ресурсов библиотек и интернета; </w:t>
      </w:r>
    </w:p>
    <w:p w14:paraId="757D345F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3) осуществлять выбор наиболее эффективных способов решения задач в зависимости от конкретных условий; </w:t>
      </w:r>
    </w:p>
    <w:p w14:paraId="5F4F09A2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4) анализировать, сравнивать, классифицировать и обобщать факты и явления; 5) давать определения понятиям; </w:t>
      </w:r>
    </w:p>
    <w:p w14:paraId="7631860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6CC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C6CCB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  <w:r w:rsidRPr="005C6C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F0D11A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1) самостоятельно организовывать учебное взаимодействие в группе (определять общие цели, договариваться друг с другом и т.д.); </w:t>
      </w:r>
    </w:p>
    <w:p w14:paraId="0592C2C4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2) в дискуссии уметь выдвинуть аргументы и контраргументы; </w:t>
      </w:r>
    </w:p>
    <w:p w14:paraId="6A469764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3) учиться критично относится к своему мнению, с достоинством признавать ошибочность своего мнения и корректировать его; </w:t>
      </w:r>
    </w:p>
    <w:p w14:paraId="312ACE64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4) понимая позицию другого, различать в его речи: мнение (точку зрения), доказательство (аргументы), факты (гипотезы, аксиомы, теории); </w:t>
      </w:r>
    </w:p>
    <w:p w14:paraId="523C9DDB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C6CCB">
        <w:rPr>
          <w:rFonts w:ascii="Times New Roman" w:hAnsi="Times New Roman" w:cs="Times New Roman"/>
          <w:b/>
          <w:i/>
          <w:sz w:val="24"/>
          <w:szCs w:val="24"/>
        </w:rPr>
        <w:t>Предметным результатом</w:t>
      </w:r>
      <w:r w:rsidRPr="005C6CCB">
        <w:rPr>
          <w:rFonts w:ascii="Times New Roman" w:hAnsi="Times New Roman" w:cs="Times New Roman"/>
          <w:sz w:val="24"/>
          <w:szCs w:val="24"/>
        </w:rPr>
        <w:t xml:space="preserve"> изучения курса является сформированность следующих умений. </w:t>
      </w:r>
    </w:p>
    <w:p w14:paraId="7A80B7F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1) овладение базовым понятийным аппаратом по основным разделам содержания; представление об основных изучаемых понятиях (число, геометрическая фигура, геометрическое тело, уравнение, функция, вероятность) как важнейших математических моделях, позволяющих описывать и изучать реальные процессы и явления; </w:t>
      </w:r>
    </w:p>
    <w:p w14:paraId="371F788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14:paraId="4D5F59DC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 </w:t>
      </w:r>
    </w:p>
    <w:p w14:paraId="5E073B1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4)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 </w:t>
      </w:r>
    </w:p>
    <w:p w14:paraId="5671D577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5)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14:paraId="68170B5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6) усвоение систематических знаний о геометрических телах в пространстве и их свойствах, умение применять систематические знания о них для решения геометрических и практических задач; </w:t>
      </w:r>
    </w:p>
    <w:p w14:paraId="571B3C5B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7) умение измерять длины отрезков, величины углов, использовать формулы для нахождения площадей и объемов геометрических тел; </w:t>
      </w:r>
    </w:p>
    <w:p w14:paraId="4AE765E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8)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14:paraId="2A3CDF2E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Предметные области «Алгебра» и «Геометрия» </w:t>
      </w:r>
    </w:p>
    <w:p w14:paraId="7C4AAB25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1)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14:paraId="57949690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lastRenderedPageBreak/>
        <w:t xml:space="preserve">         2) Проводить преобразования числовых и буквенных выражений, включающих степени, радикалы, логарифмы и тригонометрические функции; </w:t>
      </w:r>
    </w:p>
    <w:p w14:paraId="7A60F058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3) Выполнять практические расчеты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 </w:t>
      </w:r>
    </w:p>
    <w:p w14:paraId="73F15E98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4) Определять значение функции по значению аргумента при различных способах задания функции; </w:t>
      </w:r>
    </w:p>
    <w:p w14:paraId="0DC6EC86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5) Строить графики изученных функций, выполнять преобразования графиков; </w:t>
      </w:r>
    </w:p>
    <w:p w14:paraId="236C9B8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6) Описывать по графику и по формуле поведение и свойства функций; </w:t>
      </w:r>
    </w:p>
    <w:p w14:paraId="18979BDB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7) Решать уравнения, системы уравнений, неравенства, используя свойства функций и их графические представления; </w:t>
      </w:r>
    </w:p>
    <w:p w14:paraId="0B42E62C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8) Описывать и исследовать функции реальных зависимостей, представлять их графически; интерпретировать графики реальных процессов. </w:t>
      </w:r>
    </w:p>
    <w:p w14:paraId="2084CFA6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9) Решать геометрические, физические, экономические и другие прикладные задачи, в том числе задачи на наибольшие и наименьшие значения с применением аппарата математического анализа. </w:t>
      </w:r>
    </w:p>
    <w:p w14:paraId="221EC67C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10) Решать текстовые задачи с помощью составления уравнений и неравенств, интерпретируя результат с учетом ограничений условия задачи; </w:t>
      </w:r>
    </w:p>
    <w:p w14:paraId="11B138D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11) Изображать на координатной плоскости множества решений уравнений и неравенств, с двумя переменными, и их системы </w:t>
      </w:r>
    </w:p>
    <w:p w14:paraId="56DEA057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12)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14:paraId="35BA1CB2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13) Использовать при решении стереометрических задач планиметрические факты и методы;  </w:t>
      </w:r>
    </w:p>
    <w:p w14:paraId="3FEBB281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Содержание элективного курса </w:t>
      </w:r>
    </w:p>
    <w:p w14:paraId="502BD089" w14:textId="77777777" w:rsidR="005C6CCB" w:rsidRPr="005C6CCB" w:rsidRDefault="005C6CCB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6CCB">
        <w:rPr>
          <w:rFonts w:ascii="Times New Roman" w:hAnsi="Times New Roman" w:cs="Times New Roman"/>
          <w:b/>
          <w:sz w:val="24"/>
          <w:szCs w:val="24"/>
        </w:rPr>
        <w:t xml:space="preserve">«Решение экзаменационных задач по математике базового </w:t>
      </w:r>
      <w:proofErr w:type="gramStart"/>
      <w:r w:rsidRPr="005C6CCB">
        <w:rPr>
          <w:rFonts w:ascii="Times New Roman" w:hAnsi="Times New Roman" w:cs="Times New Roman"/>
          <w:b/>
          <w:sz w:val="24"/>
          <w:szCs w:val="24"/>
        </w:rPr>
        <w:t>уровня</w:t>
      </w:r>
      <w:r w:rsidRPr="005C6CC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</w:p>
    <w:p w14:paraId="3BEBF129" w14:textId="77777777" w:rsidR="00CB12BF" w:rsidRPr="005C6CCB" w:rsidRDefault="005C6CCB" w:rsidP="00AD0AC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>к</w:t>
      </w:r>
      <w:r w:rsidR="00180139" w:rsidRPr="005C6CCB">
        <w:rPr>
          <w:rFonts w:ascii="Times New Roman" w:hAnsi="Times New Roman" w:cs="Times New Roman"/>
          <w:b/>
          <w:sz w:val="24"/>
          <w:szCs w:val="24"/>
        </w:rPr>
        <w:t xml:space="preserve">ласс </w:t>
      </w:r>
    </w:p>
    <w:p w14:paraId="658F801E" w14:textId="77777777" w:rsidR="00CB12BF" w:rsidRPr="00AD0ACD" w:rsidRDefault="005C6CCB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  <w:b/>
        </w:rPr>
        <w:t>1.</w:t>
      </w:r>
      <w:r w:rsidR="00180139" w:rsidRPr="00AD0ACD">
        <w:rPr>
          <w:rFonts w:ascii="Times New Roman" w:hAnsi="Times New Roman" w:cs="Times New Roman"/>
          <w:b/>
        </w:rPr>
        <w:t>Уравнения и неравенства (11 часов)</w:t>
      </w:r>
      <w:r w:rsidR="00180139" w:rsidRPr="00AD0ACD">
        <w:rPr>
          <w:rFonts w:ascii="Times New Roman" w:hAnsi="Times New Roman" w:cs="Times New Roman"/>
        </w:rPr>
        <w:t xml:space="preserve"> </w:t>
      </w:r>
    </w:p>
    <w:p w14:paraId="4D32F104" w14:textId="77777777" w:rsidR="00CB12BF" w:rsidRPr="00AD0ACD" w:rsidRDefault="005C6CCB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</w:rPr>
        <w:t xml:space="preserve">      </w:t>
      </w:r>
      <w:r w:rsidR="00180139" w:rsidRPr="00AD0ACD">
        <w:rPr>
          <w:rFonts w:ascii="Times New Roman" w:hAnsi="Times New Roman" w:cs="Times New Roman"/>
        </w:rPr>
        <w:t>Формулы корней простейших тригонометрических уравнений. Частные случаи решения простейших тригонометрических уравнений. О</w:t>
      </w:r>
      <w:r w:rsidR="00180139" w:rsidRPr="00AD0ACD">
        <w:rPr>
          <w:rFonts w:ascii="Times New Roman" w:hAnsi="Times New Roman" w:cs="Times New Roman"/>
        </w:rPr>
        <w:t>тбор корней, принадлежащих промежутку. Способы решения тригонометрических уравнений. Иррациональные уравнения. Метод равносильности. Иррациональные неравенства. Алгоритм решения неравенств методом интервалов. Показательные уравнения. Методы решения показат</w:t>
      </w:r>
      <w:r w:rsidR="00180139" w:rsidRPr="00AD0ACD">
        <w:rPr>
          <w:rFonts w:ascii="Times New Roman" w:hAnsi="Times New Roman" w:cs="Times New Roman"/>
        </w:rPr>
        <w:t xml:space="preserve">ельных уравнений. Показательные неравенства, примеры решений. Логарифмические уравнения. Метод равносильности. Логарифмические неравенства. </w:t>
      </w:r>
    </w:p>
    <w:p w14:paraId="3654F26E" w14:textId="77777777" w:rsidR="005C6CCB" w:rsidRPr="00AD0ACD" w:rsidRDefault="00180139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  <w:b/>
        </w:rPr>
        <w:t>2. Выражения и их преобразования (10 часов)</w:t>
      </w:r>
    </w:p>
    <w:p w14:paraId="73E546D7" w14:textId="77777777" w:rsidR="005C6CCB" w:rsidRPr="00AD0ACD" w:rsidRDefault="00180139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</w:rPr>
        <w:t xml:space="preserve"> Соотношения между тригонометрическими функциями одного и того же аргумен</w:t>
      </w:r>
      <w:r w:rsidRPr="00AD0ACD">
        <w:rPr>
          <w:rFonts w:ascii="Times New Roman" w:hAnsi="Times New Roman" w:cs="Times New Roman"/>
        </w:rPr>
        <w:t>та. Формулы кратных аргументов. Обратные тригонометрические функции. Свойства степени с целым показателем. Разложение многочлена на множители. Сокращение дроби. Сумма и разность дробей. Произведение и частное дробей. Преобразование иррациональных выражений</w:t>
      </w:r>
      <w:r w:rsidRPr="00AD0ACD">
        <w:rPr>
          <w:rFonts w:ascii="Times New Roman" w:hAnsi="Times New Roman" w:cs="Times New Roman"/>
        </w:rPr>
        <w:t xml:space="preserve">. Свойства степени с рациональным показателем. Логарифм. Свойства логарифмов. Преобразования логарифмических выражений. </w:t>
      </w:r>
    </w:p>
    <w:p w14:paraId="3DDBA0FD" w14:textId="77777777" w:rsidR="005C6CCB" w:rsidRPr="00AD0ACD" w:rsidRDefault="00180139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  <w:b/>
        </w:rPr>
        <w:t>3.</w:t>
      </w:r>
      <w:r w:rsidRPr="00AD0ACD">
        <w:rPr>
          <w:rFonts w:ascii="Times New Roman" w:hAnsi="Times New Roman" w:cs="Times New Roman"/>
          <w:b/>
        </w:rPr>
        <w:t>Исследование функций методами математического анализа (5 часов)</w:t>
      </w:r>
      <w:r w:rsidRPr="00AD0ACD">
        <w:rPr>
          <w:rFonts w:ascii="Times New Roman" w:hAnsi="Times New Roman" w:cs="Times New Roman"/>
        </w:rPr>
        <w:t xml:space="preserve"> </w:t>
      </w:r>
    </w:p>
    <w:p w14:paraId="2DBBDF8E" w14:textId="77777777" w:rsidR="005C6CCB" w:rsidRPr="00AD0ACD" w:rsidRDefault="00180139" w:rsidP="00AD0ACD">
      <w:pPr>
        <w:spacing w:after="0"/>
        <w:rPr>
          <w:rFonts w:ascii="Times New Roman" w:hAnsi="Times New Roman" w:cs="Times New Roman"/>
        </w:rPr>
      </w:pPr>
      <w:r w:rsidRPr="00AD0ACD">
        <w:rPr>
          <w:rFonts w:ascii="Times New Roman" w:hAnsi="Times New Roman" w:cs="Times New Roman"/>
        </w:rPr>
        <w:t xml:space="preserve">Исследование функций элементарными методами. Производная функции, ее </w:t>
      </w:r>
      <w:r w:rsidRPr="00AD0ACD">
        <w:rPr>
          <w:rFonts w:ascii="Times New Roman" w:hAnsi="Times New Roman" w:cs="Times New Roman"/>
        </w:rPr>
        <w:t xml:space="preserve">геометрический и физический смысл. Исследование функций на экстремумы. Исследование функций на возрастание и убывание. Исследование функций на наибольшее и наименьшее значение (в т.ч. на отрезке). Исследование функций с помощью графика её производной. </w:t>
      </w:r>
    </w:p>
    <w:p w14:paraId="1B7C15AB" w14:textId="77777777" w:rsidR="005C6CCB" w:rsidRPr="005C6CCB" w:rsidRDefault="00180139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>4.</w:t>
      </w:r>
      <w:r w:rsidRPr="005C6CCB">
        <w:rPr>
          <w:rFonts w:ascii="Times New Roman" w:hAnsi="Times New Roman" w:cs="Times New Roman"/>
          <w:b/>
          <w:sz w:val="24"/>
          <w:szCs w:val="24"/>
        </w:rPr>
        <w:t>С</w:t>
      </w:r>
      <w:r w:rsidRPr="005C6CCB">
        <w:rPr>
          <w:rFonts w:ascii="Times New Roman" w:hAnsi="Times New Roman" w:cs="Times New Roman"/>
          <w:b/>
          <w:sz w:val="24"/>
          <w:szCs w:val="24"/>
        </w:rPr>
        <w:t>тереометрия (8 часов)</w:t>
      </w:r>
      <w:r w:rsidRPr="005C6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7F4C0" w14:textId="77777777" w:rsidR="005C6CCB" w:rsidRPr="005C6CCB" w:rsidRDefault="00180139" w:rsidP="00AD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>Углы и расстояния в пространстве. Многогранники. Тела вращения. Площади поверхностей тел. Объемы тел</w:t>
      </w:r>
      <w:r w:rsidR="005C6CCB" w:rsidRPr="005C6C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page" w:tblpX="1861" w:tblpY="-850"/>
        <w:tblW w:w="9351" w:type="dxa"/>
        <w:tblLayout w:type="fixed"/>
        <w:tblLook w:val="04A0" w:firstRow="1" w:lastRow="0" w:firstColumn="1" w:lastColumn="0" w:noHBand="0" w:noVBand="1"/>
      </w:tblPr>
      <w:tblGrid>
        <w:gridCol w:w="517"/>
        <w:gridCol w:w="5704"/>
        <w:gridCol w:w="1051"/>
        <w:gridCol w:w="945"/>
        <w:gridCol w:w="1134"/>
      </w:tblGrid>
      <w:tr w:rsidR="005C6CCB" w:rsidRPr="005C6CCB" w14:paraId="178D4E1A" w14:textId="77777777" w:rsidTr="005C6CCB">
        <w:trPr>
          <w:trHeight w:val="312"/>
        </w:trPr>
        <w:tc>
          <w:tcPr>
            <w:tcW w:w="9351" w:type="dxa"/>
            <w:gridSpan w:val="5"/>
            <w:tcBorders>
              <w:top w:val="nil"/>
              <w:left w:val="nil"/>
              <w:right w:val="nil"/>
            </w:tcBorders>
          </w:tcPr>
          <w:p w14:paraId="0E20B35A" w14:textId="190BF6A3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ТЕМАТИЧЕСКОЕ ПЛАНИРОВАНИЕ 11 «А» КЛАСС</w:t>
            </w:r>
          </w:p>
        </w:tc>
      </w:tr>
      <w:tr w:rsidR="005C6CCB" w:rsidRPr="005C6CCB" w14:paraId="24948655" w14:textId="77777777" w:rsidTr="005C6CCB">
        <w:trPr>
          <w:trHeight w:val="312"/>
        </w:trPr>
        <w:tc>
          <w:tcPr>
            <w:tcW w:w="517" w:type="dxa"/>
            <w:vMerge w:val="restart"/>
          </w:tcPr>
          <w:p w14:paraId="2AAC3989" w14:textId="77777777" w:rsidR="005C6CCB" w:rsidRPr="005C6CCB" w:rsidRDefault="005C6CCB" w:rsidP="005C6CC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5704" w:type="dxa"/>
            <w:vMerge w:val="restart"/>
          </w:tcPr>
          <w:p w14:paraId="2C27F59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404896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051" w:type="dxa"/>
            <w:vMerge w:val="restart"/>
          </w:tcPr>
          <w:p w14:paraId="0D170F94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  часов</w:t>
            </w:r>
          </w:p>
        </w:tc>
        <w:tc>
          <w:tcPr>
            <w:tcW w:w="2079" w:type="dxa"/>
            <w:gridSpan w:val="2"/>
          </w:tcPr>
          <w:p w14:paraId="48BD633A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5C6CCB" w:rsidRPr="005C6CCB" w14:paraId="6FB6511C" w14:textId="77777777" w:rsidTr="005C6CCB">
        <w:trPr>
          <w:trHeight w:val="324"/>
        </w:trPr>
        <w:tc>
          <w:tcPr>
            <w:tcW w:w="517" w:type="dxa"/>
            <w:vMerge/>
          </w:tcPr>
          <w:p w14:paraId="70F231AF" w14:textId="77777777" w:rsidR="005C6CCB" w:rsidRPr="005C6CCB" w:rsidRDefault="005C6CCB" w:rsidP="005C6CC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704" w:type="dxa"/>
            <w:vMerge/>
          </w:tcPr>
          <w:p w14:paraId="1668F95E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</w:tcPr>
          <w:p w14:paraId="5433491D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14:paraId="4E88BFB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6F2EC130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5C6CCB" w:rsidRPr="005C6CCB" w14:paraId="3B77061B" w14:textId="77777777" w:rsidTr="005C6CCB">
        <w:trPr>
          <w:trHeight w:val="324"/>
        </w:trPr>
        <w:tc>
          <w:tcPr>
            <w:tcW w:w="9351" w:type="dxa"/>
            <w:gridSpan w:val="5"/>
          </w:tcPr>
          <w:p w14:paraId="405296FC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Уравнения и неравенства (11 часов)</w:t>
            </w:r>
          </w:p>
        </w:tc>
      </w:tr>
      <w:tr w:rsidR="005C6CCB" w:rsidRPr="005C6CCB" w14:paraId="541EF90C" w14:textId="77777777" w:rsidTr="005C6CCB">
        <w:trPr>
          <w:trHeight w:val="324"/>
        </w:trPr>
        <w:tc>
          <w:tcPr>
            <w:tcW w:w="517" w:type="dxa"/>
          </w:tcPr>
          <w:p w14:paraId="60321B5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4" w:type="dxa"/>
          </w:tcPr>
          <w:p w14:paraId="7D50ABA7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Преобразование тригонометрических выражений.  </w:t>
            </w:r>
          </w:p>
        </w:tc>
        <w:tc>
          <w:tcPr>
            <w:tcW w:w="1051" w:type="dxa"/>
          </w:tcPr>
          <w:p w14:paraId="1AD622F3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240792B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94CA3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7841406" w14:textId="77777777" w:rsidTr="005C6CCB">
        <w:trPr>
          <w:trHeight w:val="324"/>
        </w:trPr>
        <w:tc>
          <w:tcPr>
            <w:tcW w:w="517" w:type="dxa"/>
          </w:tcPr>
          <w:p w14:paraId="4345235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4" w:type="dxa"/>
          </w:tcPr>
          <w:p w14:paraId="4E6A971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Решение простейших тригонометрических уравнений и неравенств.</w:t>
            </w:r>
          </w:p>
        </w:tc>
        <w:tc>
          <w:tcPr>
            <w:tcW w:w="1051" w:type="dxa"/>
          </w:tcPr>
          <w:p w14:paraId="6A33A4FF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A4DC1B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0CBB8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0445C6FA" w14:textId="77777777" w:rsidTr="005C6CCB">
        <w:trPr>
          <w:trHeight w:val="324"/>
        </w:trPr>
        <w:tc>
          <w:tcPr>
            <w:tcW w:w="517" w:type="dxa"/>
          </w:tcPr>
          <w:p w14:paraId="1100F12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4" w:type="dxa"/>
          </w:tcPr>
          <w:p w14:paraId="6C2FA61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тригонометрических уравнений различными способами.</w:t>
            </w:r>
          </w:p>
        </w:tc>
        <w:tc>
          <w:tcPr>
            <w:tcW w:w="1051" w:type="dxa"/>
          </w:tcPr>
          <w:p w14:paraId="7B032959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</w:tcPr>
          <w:p w14:paraId="435644A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9578B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3A77FDD8" w14:textId="77777777" w:rsidTr="005C6CCB">
        <w:trPr>
          <w:trHeight w:val="324"/>
        </w:trPr>
        <w:tc>
          <w:tcPr>
            <w:tcW w:w="517" w:type="dxa"/>
          </w:tcPr>
          <w:p w14:paraId="03EF0FE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4" w:type="dxa"/>
          </w:tcPr>
          <w:p w14:paraId="0541FBC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корней, принадлежащих промежутку. Решение заданий ЕГЭ.</w:t>
            </w:r>
          </w:p>
        </w:tc>
        <w:tc>
          <w:tcPr>
            <w:tcW w:w="1051" w:type="dxa"/>
          </w:tcPr>
          <w:p w14:paraId="4F6468CA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A14FE6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6F7F6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950765F" w14:textId="77777777" w:rsidTr="005C6CCB">
        <w:trPr>
          <w:trHeight w:val="324"/>
        </w:trPr>
        <w:tc>
          <w:tcPr>
            <w:tcW w:w="517" w:type="dxa"/>
          </w:tcPr>
          <w:p w14:paraId="2852168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4" w:type="dxa"/>
          </w:tcPr>
          <w:p w14:paraId="7036B7F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Иррациональные уравнения. Метод равносильности. </w:t>
            </w:r>
          </w:p>
        </w:tc>
        <w:tc>
          <w:tcPr>
            <w:tcW w:w="1051" w:type="dxa"/>
          </w:tcPr>
          <w:p w14:paraId="7E3D76A4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16FD7D06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B2040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137665CE" w14:textId="77777777" w:rsidTr="005C6CCB">
        <w:trPr>
          <w:trHeight w:val="324"/>
        </w:trPr>
        <w:tc>
          <w:tcPr>
            <w:tcW w:w="517" w:type="dxa"/>
          </w:tcPr>
          <w:p w14:paraId="4EDA1CD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04" w:type="dxa"/>
          </w:tcPr>
          <w:p w14:paraId="20902C8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Иррациональные неравенства. Алгоритм решения неравенств методом интервалов.</w:t>
            </w:r>
          </w:p>
        </w:tc>
        <w:tc>
          <w:tcPr>
            <w:tcW w:w="1051" w:type="dxa"/>
          </w:tcPr>
          <w:p w14:paraId="5609367F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3A7C7ED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51B4D6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1AF2A0DB" w14:textId="77777777" w:rsidTr="005C6CCB">
        <w:trPr>
          <w:trHeight w:val="324"/>
        </w:trPr>
        <w:tc>
          <w:tcPr>
            <w:tcW w:w="517" w:type="dxa"/>
          </w:tcPr>
          <w:p w14:paraId="402C587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04" w:type="dxa"/>
          </w:tcPr>
          <w:p w14:paraId="0049C14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уравнения. Методы решения показательных уравнений.</w:t>
            </w:r>
          </w:p>
        </w:tc>
        <w:tc>
          <w:tcPr>
            <w:tcW w:w="1051" w:type="dxa"/>
          </w:tcPr>
          <w:p w14:paraId="28881BDB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08A1655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B9BF7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101E429F" w14:textId="77777777" w:rsidTr="005C6CCB">
        <w:trPr>
          <w:trHeight w:val="324"/>
        </w:trPr>
        <w:tc>
          <w:tcPr>
            <w:tcW w:w="517" w:type="dxa"/>
          </w:tcPr>
          <w:p w14:paraId="6911B19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04" w:type="dxa"/>
          </w:tcPr>
          <w:p w14:paraId="66D80636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неравенства, примеры решений заданий ЕГЭ.</w:t>
            </w:r>
          </w:p>
        </w:tc>
        <w:tc>
          <w:tcPr>
            <w:tcW w:w="1051" w:type="dxa"/>
          </w:tcPr>
          <w:p w14:paraId="08734393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48F41ED7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50000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BA025F4" w14:textId="77777777" w:rsidTr="005C6CCB">
        <w:trPr>
          <w:trHeight w:val="324"/>
        </w:trPr>
        <w:tc>
          <w:tcPr>
            <w:tcW w:w="517" w:type="dxa"/>
          </w:tcPr>
          <w:p w14:paraId="73EE901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04" w:type="dxa"/>
          </w:tcPr>
          <w:p w14:paraId="2219F93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Логарифмические уравнения. Метод равносильности.</w:t>
            </w:r>
          </w:p>
        </w:tc>
        <w:tc>
          <w:tcPr>
            <w:tcW w:w="1051" w:type="dxa"/>
          </w:tcPr>
          <w:p w14:paraId="597AF51E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D1A71F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91EF8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0A3F9CFD" w14:textId="77777777" w:rsidTr="005C6CCB">
        <w:trPr>
          <w:trHeight w:val="324"/>
        </w:trPr>
        <w:tc>
          <w:tcPr>
            <w:tcW w:w="517" w:type="dxa"/>
          </w:tcPr>
          <w:p w14:paraId="39DCD5C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04" w:type="dxa"/>
          </w:tcPr>
          <w:p w14:paraId="6802592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Логарифмические неравенства.</w:t>
            </w:r>
          </w:p>
        </w:tc>
        <w:tc>
          <w:tcPr>
            <w:tcW w:w="1051" w:type="dxa"/>
          </w:tcPr>
          <w:p w14:paraId="3D243FC2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32AECD9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120B1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8A78D14" w14:textId="77777777" w:rsidTr="005C6CCB">
        <w:trPr>
          <w:trHeight w:val="324"/>
        </w:trPr>
        <w:tc>
          <w:tcPr>
            <w:tcW w:w="9351" w:type="dxa"/>
            <w:gridSpan w:val="5"/>
          </w:tcPr>
          <w:p w14:paraId="45765BAB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Выражения и их преобразования (10 часов)</w:t>
            </w:r>
          </w:p>
        </w:tc>
      </w:tr>
      <w:tr w:rsidR="005C6CCB" w:rsidRPr="005C6CCB" w14:paraId="24BA90C4" w14:textId="77777777" w:rsidTr="005C6CCB">
        <w:trPr>
          <w:trHeight w:val="324"/>
        </w:trPr>
        <w:tc>
          <w:tcPr>
            <w:tcW w:w="517" w:type="dxa"/>
          </w:tcPr>
          <w:p w14:paraId="7EDC2FEC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4" w:type="dxa"/>
          </w:tcPr>
          <w:p w14:paraId="6027740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Соотношения между тригонометрическими функциями одного и того же аргумента. Формулы кратных аргументов. Свойства степени с целым показателем. </w:t>
            </w:r>
          </w:p>
        </w:tc>
        <w:tc>
          <w:tcPr>
            <w:tcW w:w="1051" w:type="dxa"/>
          </w:tcPr>
          <w:p w14:paraId="649A538E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</w:tcPr>
          <w:p w14:paraId="0F845ED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36C89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2BDAE87" w14:textId="77777777" w:rsidTr="005C6CCB">
        <w:trPr>
          <w:trHeight w:val="324"/>
        </w:trPr>
        <w:tc>
          <w:tcPr>
            <w:tcW w:w="517" w:type="dxa"/>
          </w:tcPr>
          <w:p w14:paraId="24507A5C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4" w:type="dxa"/>
          </w:tcPr>
          <w:p w14:paraId="3E72D60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степени с целым показателем.</w:t>
            </w:r>
          </w:p>
        </w:tc>
        <w:tc>
          <w:tcPr>
            <w:tcW w:w="1051" w:type="dxa"/>
          </w:tcPr>
          <w:p w14:paraId="568932F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6874191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F2B95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3102EAA6" w14:textId="77777777" w:rsidTr="005C6CCB">
        <w:trPr>
          <w:trHeight w:val="324"/>
        </w:trPr>
        <w:tc>
          <w:tcPr>
            <w:tcW w:w="517" w:type="dxa"/>
          </w:tcPr>
          <w:p w14:paraId="61DD3C0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4" w:type="dxa"/>
          </w:tcPr>
          <w:p w14:paraId="7F556B6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Разложение многочлена на множители. Сокращение дроби.</w:t>
            </w:r>
          </w:p>
        </w:tc>
        <w:tc>
          <w:tcPr>
            <w:tcW w:w="1051" w:type="dxa"/>
          </w:tcPr>
          <w:p w14:paraId="0B054BF9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654039F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BFBAC0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6E5CFA4" w14:textId="77777777" w:rsidTr="005C6CCB">
        <w:trPr>
          <w:trHeight w:val="324"/>
        </w:trPr>
        <w:tc>
          <w:tcPr>
            <w:tcW w:w="517" w:type="dxa"/>
          </w:tcPr>
          <w:p w14:paraId="57F0AA0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4" w:type="dxa"/>
          </w:tcPr>
          <w:p w14:paraId="46B7086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и разность дробей. Произведение и частное дробей. </w:t>
            </w:r>
          </w:p>
        </w:tc>
        <w:tc>
          <w:tcPr>
            <w:tcW w:w="1051" w:type="dxa"/>
          </w:tcPr>
          <w:p w14:paraId="76CA7D62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138FF4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A534C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5226D8A8" w14:textId="77777777" w:rsidTr="005C6CCB">
        <w:trPr>
          <w:trHeight w:val="324"/>
        </w:trPr>
        <w:tc>
          <w:tcPr>
            <w:tcW w:w="517" w:type="dxa"/>
          </w:tcPr>
          <w:p w14:paraId="195BA64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4" w:type="dxa"/>
          </w:tcPr>
          <w:p w14:paraId="6C06307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Преобразование иррациональных выражений.</w:t>
            </w:r>
          </w:p>
        </w:tc>
        <w:tc>
          <w:tcPr>
            <w:tcW w:w="1051" w:type="dxa"/>
          </w:tcPr>
          <w:p w14:paraId="447DC35B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27BC659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191D1B6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314691B5" w14:textId="77777777" w:rsidTr="005C6CCB">
        <w:trPr>
          <w:trHeight w:val="324"/>
        </w:trPr>
        <w:tc>
          <w:tcPr>
            <w:tcW w:w="517" w:type="dxa"/>
          </w:tcPr>
          <w:p w14:paraId="37527EF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04" w:type="dxa"/>
          </w:tcPr>
          <w:p w14:paraId="72DCEE0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степени с рациональным показателем.</w:t>
            </w:r>
          </w:p>
        </w:tc>
        <w:tc>
          <w:tcPr>
            <w:tcW w:w="1051" w:type="dxa"/>
          </w:tcPr>
          <w:p w14:paraId="20A40312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4F16878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59420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D28BFD6" w14:textId="77777777" w:rsidTr="005C6CCB">
        <w:trPr>
          <w:trHeight w:val="324"/>
        </w:trPr>
        <w:tc>
          <w:tcPr>
            <w:tcW w:w="517" w:type="dxa"/>
          </w:tcPr>
          <w:p w14:paraId="7B50A91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04" w:type="dxa"/>
          </w:tcPr>
          <w:p w14:paraId="6072C29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Логарифм. Свойства логарифмов.</w:t>
            </w:r>
          </w:p>
        </w:tc>
        <w:tc>
          <w:tcPr>
            <w:tcW w:w="1051" w:type="dxa"/>
          </w:tcPr>
          <w:p w14:paraId="2DA138B0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1D08732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35A5D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962C24A" w14:textId="77777777" w:rsidTr="005C6CCB">
        <w:trPr>
          <w:trHeight w:val="324"/>
        </w:trPr>
        <w:tc>
          <w:tcPr>
            <w:tcW w:w="517" w:type="dxa"/>
          </w:tcPr>
          <w:p w14:paraId="4F54698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04" w:type="dxa"/>
          </w:tcPr>
          <w:p w14:paraId="74624D5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Преобразования логарифмических выражений. Решение заданий ЕГЭ.</w:t>
            </w:r>
          </w:p>
        </w:tc>
        <w:tc>
          <w:tcPr>
            <w:tcW w:w="1051" w:type="dxa"/>
          </w:tcPr>
          <w:p w14:paraId="7A3D095E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</w:tcPr>
          <w:p w14:paraId="129D5F8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A67563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148860B" w14:textId="77777777" w:rsidTr="005C6CCB">
        <w:trPr>
          <w:trHeight w:val="324"/>
        </w:trPr>
        <w:tc>
          <w:tcPr>
            <w:tcW w:w="9351" w:type="dxa"/>
            <w:gridSpan w:val="5"/>
          </w:tcPr>
          <w:p w14:paraId="4CC4499A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Исследование функций методами математического анализа (5 часов)</w:t>
            </w:r>
          </w:p>
        </w:tc>
      </w:tr>
      <w:tr w:rsidR="005C6CCB" w:rsidRPr="005C6CCB" w14:paraId="2E09D5B8" w14:textId="77777777" w:rsidTr="005C6CCB">
        <w:trPr>
          <w:trHeight w:val="324"/>
        </w:trPr>
        <w:tc>
          <w:tcPr>
            <w:tcW w:w="517" w:type="dxa"/>
          </w:tcPr>
          <w:p w14:paraId="764B197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4" w:type="dxa"/>
          </w:tcPr>
          <w:p w14:paraId="3A1C5F97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функции, ее геометрический и физический смысл.</w:t>
            </w:r>
          </w:p>
        </w:tc>
        <w:tc>
          <w:tcPr>
            <w:tcW w:w="1051" w:type="dxa"/>
          </w:tcPr>
          <w:p w14:paraId="6D8C05C9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2FC6D95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8DD3F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5FE70797" w14:textId="77777777" w:rsidTr="005C6CCB">
        <w:trPr>
          <w:trHeight w:val="324"/>
        </w:trPr>
        <w:tc>
          <w:tcPr>
            <w:tcW w:w="517" w:type="dxa"/>
          </w:tcPr>
          <w:p w14:paraId="4A58BAC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4" w:type="dxa"/>
          </w:tcPr>
          <w:p w14:paraId="490324D6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функций на экстремумы.</w:t>
            </w:r>
          </w:p>
        </w:tc>
        <w:tc>
          <w:tcPr>
            <w:tcW w:w="1051" w:type="dxa"/>
          </w:tcPr>
          <w:p w14:paraId="18A901D5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26B804EC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CA1A29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D191482" w14:textId="77777777" w:rsidTr="005C6CCB">
        <w:trPr>
          <w:trHeight w:val="324"/>
        </w:trPr>
        <w:tc>
          <w:tcPr>
            <w:tcW w:w="517" w:type="dxa"/>
          </w:tcPr>
          <w:p w14:paraId="3D1B279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4" w:type="dxa"/>
          </w:tcPr>
          <w:p w14:paraId="55C994E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Исследование функций на возрастание и убывание.  </w:t>
            </w:r>
          </w:p>
        </w:tc>
        <w:tc>
          <w:tcPr>
            <w:tcW w:w="1051" w:type="dxa"/>
          </w:tcPr>
          <w:p w14:paraId="31616636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009B03B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5EAD5C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438A4C51" w14:textId="77777777" w:rsidTr="005C6CCB">
        <w:trPr>
          <w:trHeight w:val="324"/>
        </w:trPr>
        <w:tc>
          <w:tcPr>
            <w:tcW w:w="517" w:type="dxa"/>
          </w:tcPr>
          <w:p w14:paraId="363487E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4" w:type="dxa"/>
          </w:tcPr>
          <w:p w14:paraId="184EB077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функций на наибольшее и наименьшее значение.</w:t>
            </w:r>
          </w:p>
        </w:tc>
        <w:tc>
          <w:tcPr>
            <w:tcW w:w="1051" w:type="dxa"/>
          </w:tcPr>
          <w:p w14:paraId="1DD48F43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7E88C27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9A751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B68E60A" w14:textId="77777777" w:rsidTr="005C6CCB">
        <w:trPr>
          <w:trHeight w:val="756"/>
        </w:trPr>
        <w:tc>
          <w:tcPr>
            <w:tcW w:w="517" w:type="dxa"/>
          </w:tcPr>
          <w:p w14:paraId="2B9EA747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4" w:type="dxa"/>
          </w:tcPr>
          <w:p w14:paraId="00841F3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функций с помощью графика её производной. Решение заданий ЕГЭ.</w:t>
            </w:r>
          </w:p>
          <w:p w14:paraId="67AD70D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</w:tcPr>
          <w:p w14:paraId="03CDEFDA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0E7728A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C6074A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2B73DA4" w14:textId="77777777" w:rsidTr="005C6CCB">
        <w:trPr>
          <w:trHeight w:val="504"/>
        </w:trPr>
        <w:tc>
          <w:tcPr>
            <w:tcW w:w="517" w:type="dxa"/>
          </w:tcPr>
          <w:p w14:paraId="324DFBA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4" w:type="dxa"/>
          </w:tcPr>
          <w:p w14:paraId="74BB1BD6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Стереометрия (8 часов)</w:t>
            </w:r>
          </w:p>
        </w:tc>
        <w:tc>
          <w:tcPr>
            <w:tcW w:w="1051" w:type="dxa"/>
          </w:tcPr>
          <w:p w14:paraId="4927E477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14:paraId="1A748FA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B8057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1F6D80FC" w14:textId="77777777" w:rsidTr="005C6CCB">
        <w:trPr>
          <w:trHeight w:val="324"/>
        </w:trPr>
        <w:tc>
          <w:tcPr>
            <w:tcW w:w="517" w:type="dxa"/>
          </w:tcPr>
          <w:p w14:paraId="6AC47D0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4" w:type="dxa"/>
          </w:tcPr>
          <w:p w14:paraId="0EFCE46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Параллельность прямых и плоскостей. Угол между прямыми.</w:t>
            </w:r>
          </w:p>
        </w:tc>
        <w:tc>
          <w:tcPr>
            <w:tcW w:w="1051" w:type="dxa"/>
          </w:tcPr>
          <w:p w14:paraId="16D26D07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21AD6ED3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8160D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203CDBE6" w14:textId="77777777" w:rsidTr="005C6CCB">
        <w:trPr>
          <w:trHeight w:val="324"/>
        </w:trPr>
        <w:tc>
          <w:tcPr>
            <w:tcW w:w="517" w:type="dxa"/>
          </w:tcPr>
          <w:p w14:paraId="46FA0BB4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4" w:type="dxa"/>
          </w:tcPr>
          <w:p w14:paraId="019FCF2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Перпендикулярность прямых и плоскостей. Двугранный угол. Угол между прямой и плоскостью.</w:t>
            </w:r>
          </w:p>
        </w:tc>
        <w:tc>
          <w:tcPr>
            <w:tcW w:w="1051" w:type="dxa"/>
          </w:tcPr>
          <w:p w14:paraId="6ADB1868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</w:tcPr>
          <w:p w14:paraId="724436A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F2A1F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17100B19" w14:textId="77777777" w:rsidTr="005C6CCB">
        <w:trPr>
          <w:trHeight w:val="324"/>
        </w:trPr>
        <w:tc>
          <w:tcPr>
            <w:tcW w:w="517" w:type="dxa"/>
          </w:tcPr>
          <w:p w14:paraId="59CCC57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4" w:type="dxa"/>
          </w:tcPr>
          <w:p w14:paraId="1FC162CB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Призма. Площадь поверхности. Объём. </w:t>
            </w:r>
          </w:p>
        </w:tc>
        <w:tc>
          <w:tcPr>
            <w:tcW w:w="1051" w:type="dxa"/>
          </w:tcPr>
          <w:p w14:paraId="58F7CE6D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35B70CC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721EA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A3BA80C" w14:textId="77777777" w:rsidTr="005C6CCB">
        <w:trPr>
          <w:trHeight w:val="324"/>
        </w:trPr>
        <w:tc>
          <w:tcPr>
            <w:tcW w:w="517" w:type="dxa"/>
          </w:tcPr>
          <w:p w14:paraId="5D868AA8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4" w:type="dxa"/>
          </w:tcPr>
          <w:p w14:paraId="0D82414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Пирамида. Площадь поверхности. Объём.</w:t>
            </w:r>
          </w:p>
        </w:tc>
        <w:tc>
          <w:tcPr>
            <w:tcW w:w="1051" w:type="dxa"/>
          </w:tcPr>
          <w:p w14:paraId="590FDA86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03F1F52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A1620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6929E73C" w14:textId="77777777" w:rsidTr="005C6CCB">
        <w:trPr>
          <w:trHeight w:val="324"/>
        </w:trPr>
        <w:tc>
          <w:tcPr>
            <w:tcW w:w="517" w:type="dxa"/>
          </w:tcPr>
          <w:p w14:paraId="0DAAC2F5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4" w:type="dxa"/>
          </w:tcPr>
          <w:p w14:paraId="6B05E86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Цилиндр. Площадь поверхности. Объём.</w:t>
            </w:r>
          </w:p>
        </w:tc>
        <w:tc>
          <w:tcPr>
            <w:tcW w:w="1051" w:type="dxa"/>
          </w:tcPr>
          <w:p w14:paraId="5CB08DA1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7C3642E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B1D44A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0D4822AA" w14:textId="77777777" w:rsidTr="005C6CCB">
        <w:trPr>
          <w:trHeight w:val="324"/>
        </w:trPr>
        <w:tc>
          <w:tcPr>
            <w:tcW w:w="517" w:type="dxa"/>
          </w:tcPr>
          <w:p w14:paraId="0798C62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04" w:type="dxa"/>
          </w:tcPr>
          <w:p w14:paraId="0AF6D2D0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Конус. Площадь поверхности. Объём.</w:t>
            </w:r>
          </w:p>
        </w:tc>
        <w:tc>
          <w:tcPr>
            <w:tcW w:w="1051" w:type="dxa"/>
          </w:tcPr>
          <w:p w14:paraId="3A0226B7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7F941A4F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C2551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CCB" w:rsidRPr="005C6CCB" w14:paraId="756A4F09" w14:textId="77777777" w:rsidTr="005C6CCB">
        <w:trPr>
          <w:trHeight w:val="324"/>
        </w:trPr>
        <w:tc>
          <w:tcPr>
            <w:tcW w:w="517" w:type="dxa"/>
          </w:tcPr>
          <w:p w14:paraId="2366813E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04" w:type="dxa"/>
          </w:tcPr>
          <w:p w14:paraId="2E78E4D1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Сфера и шар. Площадь сферы. Объём шара.</w:t>
            </w:r>
          </w:p>
        </w:tc>
        <w:tc>
          <w:tcPr>
            <w:tcW w:w="1051" w:type="dxa"/>
          </w:tcPr>
          <w:p w14:paraId="6EEEEFBA" w14:textId="77777777" w:rsidR="005C6CCB" w:rsidRPr="005C6CCB" w:rsidRDefault="005C6CCB" w:rsidP="005C6CC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</w:tcPr>
          <w:p w14:paraId="5F6FAF8D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AE8D29" w14:textId="77777777" w:rsidR="005C6CCB" w:rsidRPr="005C6CCB" w:rsidRDefault="005C6CCB" w:rsidP="005C6CC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4820062" w14:textId="6EE9AD5B" w:rsidR="005C6CCB" w:rsidRDefault="005C6CCB" w:rsidP="005C6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748115" w14:textId="77777777" w:rsidR="005C6CCB" w:rsidRPr="0077161E" w:rsidRDefault="005C6CCB" w:rsidP="005C6C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7161E">
        <w:rPr>
          <w:rFonts w:ascii="Times New Roman" w:hAnsi="Times New Roman"/>
          <w:b/>
          <w:sz w:val="24"/>
          <w:szCs w:val="24"/>
        </w:rPr>
        <w:lastRenderedPageBreak/>
        <w:t>Источники информации</w:t>
      </w:r>
    </w:p>
    <w:p w14:paraId="2F88C94A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1. Учебно-методический комплекс «Математика. Подготовка к ЕГЭ» под редакцией Ф.Ф. Лысенко, С.Ю. </w:t>
      </w:r>
      <w:proofErr w:type="spellStart"/>
      <w:r w:rsidRPr="0077161E">
        <w:rPr>
          <w:rFonts w:ascii="Times New Roman" w:hAnsi="Times New Roman"/>
          <w:sz w:val="24"/>
          <w:szCs w:val="24"/>
        </w:rPr>
        <w:t>Кулабухова</w:t>
      </w:r>
      <w:proofErr w:type="spellEnd"/>
      <w:r w:rsidRPr="0077161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161E">
        <w:rPr>
          <w:rFonts w:ascii="Times New Roman" w:hAnsi="Times New Roman"/>
          <w:sz w:val="24"/>
          <w:szCs w:val="24"/>
        </w:rPr>
        <w:t>Ростов</w:t>
      </w:r>
      <w:proofErr w:type="spellEnd"/>
      <w:r w:rsidRPr="0077161E">
        <w:rPr>
          <w:rFonts w:ascii="Times New Roman" w:hAnsi="Times New Roman"/>
          <w:sz w:val="24"/>
          <w:szCs w:val="24"/>
        </w:rPr>
        <w:t>-на-Дону, Легион-М, 2023 г.</w:t>
      </w:r>
    </w:p>
    <w:p w14:paraId="2D9EDA60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 2. </w:t>
      </w:r>
      <w:hyperlink r:id="rId5" w:history="1">
        <w:r w:rsidRPr="0077161E">
          <w:rPr>
            <w:rStyle w:val="a5"/>
            <w:rFonts w:ascii="Times New Roman" w:hAnsi="Times New Roman"/>
            <w:sz w:val="24"/>
            <w:szCs w:val="24"/>
          </w:rPr>
          <w:t>http://sdamgia.ru</w:t>
        </w:r>
      </w:hyperlink>
    </w:p>
    <w:p w14:paraId="422C5B15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 – СДАМ ГИА: решу ВПР, ОГЭ, </w:t>
      </w:r>
      <w:proofErr w:type="gramStart"/>
      <w:r w:rsidRPr="0077161E">
        <w:rPr>
          <w:rFonts w:ascii="Times New Roman" w:hAnsi="Times New Roman"/>
          <w:sz w:val="24"/>
          <w:szCs w:val="24"/>
        </w:rPr>
        <w:t>ЕГЭ .</w:t>
      </w:r>
      <w:proofErr w:type="gramEnd"/>
      <w:r w:rsidRPr="0077161E">
        <w:rPr>
          <w:rFonts w:ascii="Times New Roman" w:hAnsi="Times New Roman"/>
          <w:sz w:val="24"/>
          <w:szCs w:val="24"/>
        </w:rPr>
        <w:t xml:space="preserve"> </w:t>
      </w:r>
    </w:p>
    <w:p w14:paraId="3AAF1609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3. </w:t>
      </w:r>
      <w:hyperlink r:id="rId6" w:history="1">
        <w:r w:rsidRPr="0077161E">
          <w:rPr>
            <w:rStyle w:val="a5"/>
            <w:rFonts w:ascii="Times New Roman" w:hAnsi="Times New Roman"/>
            <w:sz w:val="24"/>
            <w:szCs w:val="24"/>
          </w:rPr>
          <w:t>www.fipi.ru</w:t>
        </w:r>
      </w:hyperlink>
    </w:p>
    <w:p w14:paraId="69ED3634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 – сайт ФИПИ (демоверсия ЕГЭ-2024, нормативные документы)</w:t>
      </w:r>
    </w:p>
    <w:p w14:paraId="4C45480D" w14:textId="77777777" w:rsidR="005C6CCB" w:rsidRPr="0077161E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 4. </w:t>
      </w:r>
      <w:hyperlink r:id="rId7" w:history="1">
        <w:r w:rsidRPr="0077161E">
          <w:rPr>
            <w:rStyle w:val="a5"/>
            <w:rFonts w:ascii="Times New Roman" w:hAnsi="Times New Roman"/>
            <w:sz w:val="24"/>
            <w:szCs w:val="24"/>
          </w:rPr>
          <w:t>http://school-collection.edu.ru</w:t>
        </w:r>
      </w:hyperlink>
    </w:p>
    <w:p w14:paraId="18E9E86D" w14:textId="77777777" w:rsidR="005C6CCB" w:rsidRDefault="005C6CCB" w:rsidP="005C6CCB">
      <w:pPr>
        <w:pStyle w:val="a4"/>
        <w:rPr>
          <w:rFonts w:ascii="Times New Roman" w:hAnsi="Times New Roman"/>
          <w:sz w:val="24"/>
          <w:szCs w:val="24"/>
        </w:rPr>
      </w:pPr>
      <w:r w:rsidRPr="0077161E">
        <w:rPr>
          <w:rFonts w:ascii="Times New Roman" w:hAnsi="Times New Roman"/>
          <w:sz w:val="24"/>
          <w:szCs w:val="24"/>
        </w:rPr>
        <w:t xml:space="preserve"> - единая коллекция цифровых образовательных ресурсов.</w:t>
      </w:r>
    </w:p>
    <w:p w14:paraId="15AC6436" w14:textId="77777777" w:rsidR="005C6CCB" w:rsidRPr="005C6CCB" w:rsidRDefault="005C6CCB" w:rsidP="005C6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A2887" w14:textId="77777777" w:rsidR="005C6CCB" w:rsidRPr="005C6CCB" w:rsidRDefault="005C6CCB">
      <w:pPr>
        <w:rPr>
          <w:rFonts w:ascii="Times New Roman" w:hAnsi="Times New Roman" w:cs="Times New Roman"/>
          <w:sz w:val="24"/>
          <w:szCs w:val="24"/>
        </w:rPr>
      </w:pPr>
    </w:p>
    <w:sectPr w:rsidR="005C6CCB" w:rsidRPr="005C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75A6A"/>
    <w:multiLevelType w:val="hybridMultilevel"/>
    <w:tmpl w:val="2138D1CE"/>
    <w:lvl w:ilvl="0" w:tplc="F7982C20">
      <w:start w:val="11"/>
      <w:numFmt w:val="decimal"/>
      <w:lvlText w:val="%1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20"/>
    <w:rsid w:val="00180139"/>
    <w:rsid w:val="003C1520"/>
    <w:rsid w:val="005C6CCB"/>
    <w:rsid w:val="00AD0ACD"/>
    <w:rsid w:val="00C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E9E3"/>
  <w15:chartTrackingRefBased/>
  <w15:docId w15:val="{D343894F-4654-49DD-A092-C1179E9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CCB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5C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hyperlink" Target="http://sdamgi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2404</Words>
  <Characters>13706</Characters>
  <Application>Microsoft Office Word</Application>
  <DocSecurity>0</DocSecurity>
  <Lines>114</Lines>
  <Paragraphs>32</Paragraphs>
  <ScaleCrop>false</ScaleCrop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2024-09-25T14:05:00Z</dcterms:created>
  <dcterms:modified xsi:type="dcterms:W3CDTF">2024-09-25T14:23:00Z</dcterms:modified>
</cp:coreProperties>
</file>