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408" w:lineRule="auto"/>
        <w:ind w:firstLine="0" w:left="-589"/>
        <w:jc w:val="center"/>
        <w:rPr>
          <w:rFonts w:ascii="Times New Roman" w:hAnsi="Times New Roman"/>
        </w:rPr>
      </w:pPr>
      <w:bookmarkStart w:id="1" w:name="block-2295087"/>
      <w:bookmarkEnd w:id="1"/>
      <w:r>
        <w:drawing>
          <wp:inline>
            <wp:extent cx="6265333" cy="863600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5333" cy="8636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bookmarkStart w:id="2" w:name="_GoBack"/>
      <w:bookmarkEnd w:id="2"/>
    </w:p>
    <w:p w14:paraId="03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ПОЯСНИТЕЛЬНАЯ ЗАПИСКА</w:t>
      </w:r>
    </w:p>
    <w:p w14:paraId="0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0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по математике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</w:t>
      </w:r>
      <w:r>
        <w:rPr>
          <w:rFonts w:ascii="Times New Roman" w:hAnsi="Times New Roman"/>
          <w:sz w:val="24"/>
        </w:rPr>
        <w:t>31.05.2021</w:t>
      </w:r>
      <w:r>
        <w:rPr>
          <w:rFonts w:ascii="Times New Roman" w:hAnsi="Times New Roman"/>
          <w:sz w:val="24"/>
        </w:rPr>
        <w:t xml:space="preserve"> г. № 287, зарегистрирован Министерством юстиции Российской Федерации </w:t>
      </w:r>
      <w:r>
        <w:rPr>
          <w:rFonts w:ascii="Times New Roman" w:hAnsi="Times New Roman"/>
          <w:sz w:val="24"/>
        </w:rPr>
        <w:t>05.07.2021</w:t>
      </w:r>
      <w:r>
        <w:rPr>
          <w:rFonts w:ascii="Times New Roman" w:hAnsi="Times New Roman"/>
          <w:sz w:val="24"/>
        </w:rPr>
        <w:t xml:space="preserve"> г., рег. номер</w:t>
      </w: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sz w:val="24"/>
        </w:rPr>
        <w:t xml:space="preserve">  64101) (далее</w:t>
      </w: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sz w:val="24"/>
        </w:rPr>
        <w:t xml:space="preserve"> – ФГОС ООО), </w:t>
      </w:r>
      <w:r>
        <w:rPr>
          <w:rFonts w:ascii="Times New Roman" w:hAnsi="Times New Roman"/>
          <w:sz w:val="24"/>
        </w:rPr>
        <w:t xml:space="preserve"> адаптированной основной образовательной программы основного общего образования обучающихся с задержкой психического развития (д</w:t>
      </w:r>
      <w:r>
        <w:rPr>
          <w:rFonts w:ascii="Times New Roman" w:hAnsi="Times New Roman"/>
          <w:sz w:val="24"/>
        </w:rPr>
        <w:t>алее</w:t>
      </w:r>
      <w:r>
        <w:rPr>
          <w:rFonts w:ascii="Times New Roman" w:hAnsi="Times New Roman"/>
          <w:sz w:val="24"/>
        </w:rPr>
        <w:t xml:space="preserve"> – </w:t>
      </w:r>
      <w:r>
        <w:rPr>
          <w:rFonts w:ascii="Times New Roman" w:hAnsi="Times New Roman"/>
          <w:sz w:val="24"/>
        </w:rPr>
        <w:t>ПАООП ООО ЗПР),</w:t>
      </w:r>
      <w:r>
        <w:rPr>
          <w:rFonts w:ascii="Times New Roman" w:hAnsi="Times New Roman"/>
          <w:sz w:val="24"/>
        </w:rPr>
        <w:t xml:space="preserve"> рабочей программы основного общего образования по </w:t>
      </w:r>
      <w:r>
        <w:rPr>
          <w:rFonts w:ascii="Times New Roman" w:hAnsi="Times New Roman"/>
          <w:sz w:val="24"/>
        </w:rPr>
        <w:t>предмету «Математика»,</w:t>
      </w:r>
      <w:r>
        <w:rPr>
          <w:rFonts w:ascii="Times New Roman" w:hAnsi="Times New Roman"/>
          <w:sz w:val="24"/>
        </w:rPr>
        <w:t xml:space="preserve"> программы воспитания,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развития.</w:t>
      </w:r>
      <w:r>
        <w:rPr>
          <w:rFonts w:ascii="Times New Roman" w:hAnsi="Times New Roman"/>
          <w:sz w:val="24"/>
        </w:rPr>
        <w:t xml:space="preserve"> В рабочей программе учтены идеи и положения Концепции развития математического образования в Российской Федерации.</w:t>
      </w:r>
    </w:p>
    <w:p w14:paraId="06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</w:p>
    <w:p w14:paraId="0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Общая характеристика учебного предмета «Математика»</w:t>
      </w:r>
    </w:p>
    <w:p w14:paraId="0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Учебный предмет «Математика» входит в предметную область «Математика и информатика». Он способствует </w:t>
      </w:r>
      <w:r>
        <w:rPr>
          <w:rFonts w:ascii="Times New Roman" w:hAnsi="Times New Roman"/>
          <w:sz w:val="24"/>
        </w:rPr>
        <w:t>развитию вычислительной культуры и логического мышления, формированию умения пользоваться алгоритмами, а также приобретению практических навыков, необходимых в повседневной жизни</w:t>
      </w:r>
      <w:r>
        <w:rPr>
          <w:rFonts w:ascii="Times New Roman" w:hAnsi="Times New Roman"/>
          <w:sz w:val="24"/>
        </w:rPr>
        <w:t xml:space="preserve"> обучающихся с ЗПР. Учебный предмет </w:t>
      </w:r>
      <w:r>
        <w:rPr>
          <w:rFonts w:ascii="Times New Roman" w:hAnsi="Times New Roman"/>
          <w:sz w:val="24"/>
        </w:rPr>
        <w:t>развивает мышление, пространственное воображение, функциональную грамотность, умения воспринимать и критически анализировать информацию, представленную в различных формах.</w:t>
      </w:r>
    </w:p>
    <w:p w14:paraId="0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Обучение математике даёт возможность развивать у обучающихся с ЗПР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</w:p>
    <w:p w14:paraId="0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14:paraId="0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14:paraId="0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Программа отражает содержание обучения предмету «Математика» с учетом особых образовательных потребностей обучающихся с </w:t>
      </w:r>
      <w:r>
        <w:rPr>
          <w:rFonts w:ascii="Times New Roman" w:hAnsi="Times New Roman"/>
          <w:sz w:val="24"/>
        </w:rPr>
        <w:t>ЗПР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Овладение учебным предметом «Математика» представляет определенную сложность для учащихся с ЗПР. У обучающихся с ЗПР наиболее выражены отставания в развитии словесно-логических форм мышления, поэтому абстрактные и отвлеченные категории им труднодоступны. В тоже время при специальном обучении обучающиеся могут выполнять задания по алгоритму. Они восприимчивы к помощи, могут выполнить перенос на аналогичное задание усвоенного способа решения.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действий. У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затруднены счетные вычисления, производимые в уме. В письменных вычислениях они могут пропускать один из промежуточных шагов. При работе с числовыми выражениями, вычислением их значения могут не удерживать правильный порядок действий. При упрощении, преобразовании выражений учащиеся с ЗПР не могут самостоятельно принять решение о </w:t>
      </w:r>
      <w:r>
        <w:rPr>
          <w:rFonts w:ascii="Times New Roman" w:hAnsi="Times New Roman"/>
          <w:sz w:val="24"/>
        </w:rPr>
        <w:t>последовательности выполнения действий. Конкретность мышления осложняет усвоения навыка решения уравнений, неравенств, системы уравнений. Им малодоступно совершение обратимых операций.</w:t>
      </w:r>
    </w:p>
    <w:p w14:paraId="0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Низкий уровень развития логических операций, недостаточная обобщенность мышления затрудняют изучение темы «Функции»: при определении функциональной зависимости, при описании графической ситуации, используя геометрический, алгебраический, функциональный языки. Нередко учащиеся не видят разницы между областью определения функции и областью значений.  </w:t>
      </w:r>
    </w:p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задач сопряжено с трудностями оформления краткой записи, проведения анализа условия задачи, выделения существенного. Обучающиеся с ЗПР затрудняются сделать умозаключение от общего к частному, нередко выбирают нерациональные способы решения, иногда ограничиваются манипуляциями с числами.</w:t>
      </w:r>
    </w:p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изучении геометрического материала обучающиеся с ЗПР сталкиваются с трудностью делать логические выводы, строить последовательные рассуждения. Непрочные знания основных теорем геометрии приводит к ошибкам в решении геометрических задач. </w:t>
      </w:r>
      <w:r>
        <w:rPr>
          <w:rFonts w:ascii="Times New Roman" w:hAnsi="Times New Roman"/>
          <w:sz w:val="24"/>
        </w:rPr>
        <w:t>Обучающиеся</w:t>
      </w:r>
      <w:r>
        <w:rPr>
          <w:rFonts w:ascii="Times New Roman" w:hAnsi="Times New Roman"/>
          <w:sz w:val="24"/>
        </w:rPr>
        <w:t xml:space="preserve"> могут подменить формулу, неправильно применить теорему. К серьезным ошибкам в решении задач приводят недостаточно развитые пространственные представления. Им сложно выполнить чертеж к условию, в письменных работах они не могут привести объяснение к чертежу.</w:t>
      </w:r>
    </w:p>
    <w:p w14:paraId="1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Точность запоминания и воспроизведения учебного материала снижены по причине слабости </w:t>
      </w:r>
      <w:r>
        <w:rPr>
          <w:rFonts w:ascii="Times New Roman" w:hAnsi="Times New Roman"/>
          <w:sz w:val="24"/>
        </w:rPr>
        <w:t>мнестической</w:t>
      </w:r>
      <w:r>
        <w:rPr>
          <w:rFonts w:ascii="Times New Roman" w:hAnsi="Times New Roman"/>
          <w:sz w:val="24"/>
        </w:rPr>
        <w:t xml:space="preserve"> деятельности, сужения объема памяти. </w:t>
      </w:r>
      <w:r>
        <w:rPr>
          <w:rFonts w:ascii="Times New Roman" w:hAnsi="Times New Roman"/>
          <w:sz w:val="24"/>
        </w:rPr>
        <w:t>Обучающимся</w:t>
      </w:r>
      <w:r>
        <w:rPr>
          <w:rFonts w:ascii="Times New Roman" w:hAnsi="Times New Roman"/>
          <w:sz w:val="24"/>
        </w:rPr>
        <w:t xml:space="preserve"> с ЗПР требуется больше времени на закрепление материала, актуализация знаний по опоре при воспроизведении. </w:t>
      </w:r>
    </w:p>
    <w:p w14:paraId="11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преодоления трудностей в изучении учебного предмета «Математика» необходима адаптация объема и характера учебного материала к познавательным возможностям учащихся с ЗПР. Следует учебный материал преподносить небольшими порциями, усложняя его постепенно, изыскивать способы адаптации трудных заданий, некоторые темы давать как ознакомительные; исключать отдельные трудные доказательства; теоретический материал рекомендуется изучать в процессе практической деятельности по решению задач.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умений.</w:t>
      </w:r>
    </w:p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1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Цели и задачи изучения учебного предмета «Математика»</w:t>
      </w:r>
      <w:r>
        <w:rPr>
          <w:rFonts w:ascii="Times New Roman" w:hAnsi="Times New Roman"/>
          <w:sz w:val="24"/>
        </w:rPr>
        <w:t xml:space="preserve">  </w:t>
      </w:r>
    </w:p>
    <w:p w14:paraId="1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Приоритетными </w:t>
      </w:r>
      <w:r>
        <w:rPr>
          <w:rFonts w:ascii="Times New Roman" w:hAnsi="Times New Roman"/>
          <w:i w:val="1"/>
          <w:sz w:val="24"/>
        </w:rPr>
        <w:t>целями</w:t>
      </w:r>
      <w:r>
        <w:rPr>
          <w:rFonts w:ascii="Times New Roman" w:hAnsi="Times New Roman"/>
          <w:sz w:val="24"/>
        </w:rPr>
        <w:t xml:space="preserve"> обучения математике в 5–9 классах являются:</w:t>
      </w:r>
    </w:p>
    <w:p w14:paraId="15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jc w:val="both"/>
        <w:rPr>
          <w:sz w:val="24"/>
        </w:rPr>
      </w:pPr>
      <w:r>
        <w:rPr>
          <w:sz w:val="24"/>
        </w:rPr>
        <w:t>формирование центральных математических понятий (число, величина, геометрическая фигура, переменная, вероятность, функция), обеспечивающих преемственность и перспективность математического образования обучающихся с ЗПР;</w:t>
      </w:r>
    </w:p>
    <w:p w14:paraId="16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jc w:val="both"/>
        <w:rPr>
          <w:sz w:val="24"/>
        </w:rPr>
      </w:pPr>
      <w:r>
        <w:rPr>
          <w:sz w:val="24"/>
        </w:rPr>
        <w:t xml:space="preserve">подведение обучающихся с ЗПР на доступном для них </w:t>
      </w:r>
      <w:r>
        <w:rPr>
          <w:sz w:val="24"/>
        </w:rPr>
        <w:t>уровне</w:t>
      </w:r>
      <w:r>
        <w:rPr>
          <w:sz w:val="24"/>
        </w:rPr>
        <w:t xml:space="preserve"> к осознанию взаимосвязи математики и окружающего мира, понимание математики как части общей культуры человечества;</w:t>
      </w:r>
    </w:p>
    <w:p w14:paraId="17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jc w:val="both"/>
        <w:rPr>
          <w:sz w:val="24"/>
        </w:rPr>
      </w:pPr>
      <w:r>
        <w:rPr>
          <w:sz w:val="24"/>
        </w:rPr>
        <w:t>развитие интеллектуальных и творческих способностей обучающихся с ЗПР, познавательной активности, исследовательских умений, критичности мышления, интереса к изучению математики;</w:t>
      </w:r>
    </w:p>
    <w:p w14:paraId="18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jc w:val="both"/>
        <w:rPr>
          <w:sz w:val="24"/>
        </w:rPr>
      </w:pPr>
      <w:r>
        <w:rPr>
          <w:sz w:val="24"/>
        </w:rPr>
        <w:t xml:space="preserve">формирование функциональной математической грамотности: умения распознавать проявления математических понятий, объектов и закономерностей в реальных жизненных ситуациях и при изучении других учебных предметов, проявления зависимостей и закономерностей, формулировать их на языке математики и создавать математические модели, применять освоенный математический аппарат </w:t>
      </w:r>
      <w:r>
        <w:rPr>
          <w:sz w:val="24"/>
        </w:rPr>
        <w:t>для решения практико-ориентированных задач, интерпретировать и оценивать полученные результаты.</w:t>
      </w:r>
    </w:p>
    <w:p w14:paraId="1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Достижение этих целей обеспечивается решением следующих </w:t>
      </w:r>
      <w:r>
        <w:rPr>
          <w:rFonts w:ascii="Times New Roman" w:hAnsi="Times New Roman"/>
          <w:i w:val="1"/>
          <w:sz w:val="24"/>
        </w:rPr>
        <w:t>задач:</w:t>
      </w:r>
    </w:p>
    <w:p w14:paraId="1A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jc w:val="both"/>
        <w:rPr>
          <w:sz w:val="24"/>
        </w:rPr>
      </w:pPr>
      <w:r>
        <w:rPr>
          <w:sz w:val="24"/>
        </w:rPr>
        <w:t>формировать у обучающихся с ЗПР навыки учебно-познавательной деятельности: планирование работы, поиск рациональных путей ее выполнения, осуществления самоконтроля;</w:t>
      </w:r>
    </w:p>
    <w:p w14:paraId="1B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jc w:val="both"/>
        <w:rPr>
          <w:sz w:val="24"/>
        </w:rPr>
      </w:pPr>
      <w:r>
        <w:rPr>
          <w:sz w:val="24"/>
        </w:rPr>
        <w:t>способствовать интеллектуальному развитию, формировать качества, необходимые человеку для полноценной жизни в современном обществе, свойственные математической деятельности: ясности и точности мысли, интуиции, пространственных представлений, способности к преодолению трудностей;</w:t>
      </w:r>
    </w:p>
    <w:p w14:paraId="1C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jc w:val="both"/>
        <w:rPr>
          <w:sz w:val="24"/>
        </w:rPr>
      </w:pPr>
      <w:r>
        <w:rPr>
          <w:sz w:val="24"/>
        </w:rPr>
        <w:t xml:space="preserve">формировать ключевые компетенции учащихся в рамках предметной области «Математика и информатика»; </w:t>
      </w:r>
    </w:p>
    <w:p w14:paraId="1D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jc w:val="both"/>
        <w:rPr>
          <w:sz w:val="24"/>
        </w:rPr>
      </w:pPr>
      <w:r>
        <w:rPr>
          <w:sz w:val="24"/>
        </w:rPr>
        <w:t xml:space="preserve">развивать </w:t>
      </w:r>
      <w:r>
        <w:rPr>
          <w:sz w:val="24"/>
        </w:rPr>
        <w:t>понятийное</w:t>
      </w:r>
      <w:r>
        <w:rPr>
          <w:sz w:val="24"/>
        </w:rPr>
        <w:t xml:space="preserve"> мышления обучающихся с ЗПР;</w:t>
      </w:r>
    </w:p>
    <w:p w14:paraId="1E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jc w:val="both"/>
        <w:rPr>
          <w:sz w:val="24"/>
        </w:rPr>
      </w:pPr>
      <w:r>
        <w:rPr>
          <w:sz w:val="24"/>
        </w:rPr>
        <w:t>осуществлять коррекцию познавательных процессов обучающихся с ЗПР, необходимых для освоения программного материала по учебному предмету;</w:t>
      </w:r>
    </w:p>
    <w:p w14:paraId="1F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jc w:val="both"/>
        <w:rPr>
          <w:sz w:val="24"/>
        </w:rPr>
      </w:pPr>
      <w:r>
        <w:rPr>
          <w:sz w:val="24"/>
        </w:rPr>
        <w:t>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развитии;</w:t>
      </w:r>
    </w:p>
    <w:p w14:paraId="20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jc w:val="both"/>
        <w:rPr>
          <w:sz w:val="24"/>
        </w:rPr>
      </w:pPr>
      <w:r>
        <w:rPr>
          <w:sz w:val="24"/>
        </w:rPr>
        <w:t>сформировать устойчивый интерес учащихся к предмету;</w:t>
      </w:r>
    </w:p>
    <w:p w14:paraId="21000000">
      <w:pPr>
        <w:pStyle w:val="Style_1"/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jc w:val="both"/>
        <w:rPr>
          <w:sz w:val="24"/>
        </w:rPr>
      </w:pPr>
      <w:r>
        <w:rPr>
          <w:sz w:val="24"/>
        </w:rPr>
        <w:t>выявлять и развивать математические и творческие способности.</w:t>
      </w:r>
    </w:p>
    <w:p w14:paraId="2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Основные линии содержания курса математики в 5–9 классах: «Числа и вычисления», «Алгебра» («Алгебраические выражения», «Уравнения и неравенства»), «Функции», «Геометрия» («Геометрические фигуры и их свойства», «Измерение геометрических величин»), «Вероятность и статистика». Данные линии развиваются параллельно, каждая в соответствии с собственной логикой, однако не независимо одна от другой, а в тесном контакте и взаимодействии. Кроме этого, их объединяет логическая составляющая, традиционно присущая математике и пронизывающая все математические курсы и содержательные линии. Сформулированное в Федеральном государственном образовательном стандарте основного общего образования требование «уметь оперировать понятиями: определение, аксиома, теорема, доказательство; умение распознавать истинные и ложные высказывания, приводить примеры и </w:t>
      </w:r>
      <w:r>
        <w:rPr>
          <w:rFonts w:ascii="Times New Roman" w:hAnsi="Times New Roman"/>
          <w:sz w:val="24"/>
        </w:rPr>
        <w:t>контрпримеры</w:t>
      </w:r>
      <w:r>
        <w:rPr>
          <w:rFonts w:ascii="Times New Roman" w:hAnsi="Times New Roman"/>
          <w:sz w:val="24"/>
        </w:rPr>
        <w:t>, строить высказывания и отрицания высказываний» относится ко всем курсам, а формирование логических умений распределяется по всем годам обучения на уровне основного общего образования.</w:t>
      </w:r>
    </w:p>
    <w:p w14:paraId="2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 образования, соответствующее предметным результатам освоения Примерной рабочей программы, распределённым по годам обучения, структурировано таким образом, чтобы ко всем основным, принципиальным вопросам обучающиеся обращались неоднократно, чтобы овладение математическими понятиями и навыками осуществлялось последовательно и поступательно, с соблюдением принципа преемственности, а новые знания включались в общую систему математических представлений обучающихся с ЗПР, расширяя и углубляя её, образуя прочные множественные связи.</w:t>
      </w:r>
      <w:r>
        <w:rPr>
          <w:rFonts w:ascii="Times New Roman" w:hAnsi="Times New Roman"/>
          <w:sz w:val="24"/>
        </w:rPr>
        <w:t xml:space="preserve"> Общие цели изучения учебного предмета «Математика» представлены в Примерной рабочей программе основного общего образования.</w:t>
      </w:r>
    </w:p>
    <w:p w14:paraId="2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2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Особенности отбора и адаптации учебного материала по математике</w:t>
      </w:r>
    </w:p>
    <w:p w14:paraId="2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Обучение учебному предмету «Математика» строится на создании оптимальных условий для усвоения программного материала обучающимися с ЗПР. Большое внимание уделяется отбору учебного материала в соответствии с принципом доступности при сохранении общего базового уровня, который должен по содержанию и объему быть адаптированным для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с ЗПР в соответствии с их особыми образовательными потребностями. Следует облегчить овладение материалом </w:t>
      </w:r>
      <w:r>
        <w:rPr>
          <w:rFonts w:ascii="Times New Roman" w:hAnsi="Times New Roman"/>
          <w:sz w:val="24"/>
        </w:rPr>
        <w:t>обучающимися</w:t>
      </w:r>
      <w:r>
        <w:rPr>
          <w:rFonts w:ascii="Times New Roman" w:hAnsi="Times New Roman"/>
          <w:sz w:val="24"/>
        </w:rPr>
        <w:t xml:space="preserve"> с ЗПР </w:t>
      </w:r>
      <w:r>
        <w:rPr>
          <w:rFonts w:ascii="Times New Roman" w:hAnsi="Times New Roman"/>
          <w:sz w:val="24"/>
        </w:rPr>
        <w:t>посредством его детального объяснения с систематическим повтором, многократной тренировки в применении знаний, используя приемы актуализации (визуальная опора, памятка).</w:t>
      </w:r>
    </w:p>
    <w:p w14:paraId="2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</w:t>
      </w:r>
      <w:r>
        <w:rPr>
          <w:rFonts w:ascii="Times New Roman" w:hAnsi="Times New Roman"/>
          <w:sz w:val="24"/>
        </w:rPr>
        <w:t xml:space="preserve"> программа предусматривает внесение некоторых изменений: уменьшение объема теоретических сведений, вынесение отдельных тем или целых разделов в материалы для обзорного, ознакомительного изучения.</w:t>
      </w:r>
    </w:p>
    <w:p w14:paraId="28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29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Изменения программы в 7–9 классах</w:t>
      </w:r>
    </w:p>
    <w:p w14:paraId="2A000000">
      <w:pPr>
        <w:spacing w:after="0"/>
        <w:ind w:firstLine="0" w:left="120"/>
        <w:rPr>
          <w:rFonts w:ascii="Times New Roman" w:hAnsi="Times New Roman"/>
          <w:sz w:val="24"/>
        </w:rPr>
      </w:pPr>
    </w:p>
    <w:p w14:paraId="2B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Геометрия</w:t>
      </w:r>
    </w:p>
    <w:p w14:paraId="2C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Следует основное внимание уделить практической направленности курса, исключив и упростив наиболее сложный для восприятия теоретический материал. На уроках геометрии необходимо максимально использовать наглядные средства обучения, больше проводить практических работ с учащимися, решать задачи. Строить решение задач при постоянном обращении к наглядности – рисункам и чертежам.</w:t>
      </w:r>
    </w:p>
    <w:p w14:paraId="2D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Ознакомительно дать темы: «Теоремы и доказательство. </w:t>
      </w:r>
      <w:r>
        <w:rPr>
          <w:rFonts w:ascii="Times New Roman" w:hAnsi="Times New Roman"/>
          <w:sz w:val="24"/>
        </w:rPr>
        <w:t>Аксиомы», «Доказательство от противного», «Существование и единственность перпендикуляра к прямой», «Метод геометрических мест», «Метод удвоения медианы», «Теорема Фалеса и теорема о пропорциональных отрезках», «Центр масс треугольника», «Изменение тригонометрических функций при возрастании угла», «Формулы для радиусов вписанных и описанных окружностей правильных многоугольников», «Уравнение прямой», «Движение», «Свойства движения», «Теорема о произведении отрезков хорд, теоремы о произведении отрезков секущих, теорема о квадрате касательной».</w:t>
      </w:r>
    </w:p>
    <w:p w14:paraId="2E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Следует уменьшить количество часов на изучение тем: «Симметричные фигуры. Основные свойства осевой симметрии», «Центральная симметрия», «Параллельный перенос», «Поворот», «Преобразование подобия. Подобие соответственных элементов», «Основные задачи на построение с помощью циркуля и линейки», «Декартовы координаты на плоскости», «Решение треугольников», «Подобие фигур». </w:t>
      </w:r>
    </w:p>
    <w:p w14:paraId="2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Высвободившиеся часы использовать на решение задач и повторение.</w:t>
      </w:r>
    </w:p>
    <w:p w14:paraId="30000000">
      <w:pPr>
        <w:rPr>
          <w:rFonts w:ascii="Times New Roman" w:hAnsi="Times New Roman"/>
          <w:sz w:val="24"/>
        </w:rPr>
      </w:pPr>
    </w:p>
    <w:p w14:paraId="31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</w:t>
      </w:r>
      <w:r>
        <w:rPr>
          <w:rFonts w:ascii="Times New Roman" w:hAnsi="Times New Roman"/>
          <w:b w:val="1"/>
          <w:sz w:val="24"/>
        </w:rPr>
        <w:t>«Математика»</w:t>
      </w:r>
    </w:p>
    <w:p w14:paraId="3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 видов деятельности обучающихся с ЗПР определяется их особыми образовательными потребностями. </w:t>
      </w:r>
      <w:r>
        <w:rPr>
          <w:rFonts w:ascii="Times New Roman" w:hAnsi="Times New Roman"/>
          <w:sz w:val="24"/>
        </w:rPr>
        <w:t xml:space="preserve">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детей, обеспечивающие осмысленное освоение содержания образования по предмету: усиление предметно-практической деятельности с активизацией сенсорных систем; чередование видов деятельности, </w:t>
      </w:r>
      <w:r>
        <w:rPr>
          <w:rFonts w:ascii="Times New Roman" w:hAnsi="Times New Roman"/>
          <w:sz w:val="24"/>
        </w:rPr>
        <w:t>задействующих</w:t>
      </w:r>
      <w:r>
        <w:rPr>
          <w:rFonts w:ascii="Times New Roman" w:hAnsi="Times New Roman"/>
          <w:sz w:val="24"/>
        </w:rPr>
        <w:t xml:space="preserve"> различные сенсорные системы; освоение материала с опорой на алгоритм; «</w:t>
      </w:r>
      <w:r>
        <w:rPr>
          <w:rFonts w:ascii="Times New Roman" w:hAnsi="Times New Roman"/>
          <w:sz w:val="24"/>
        </w:rPr>
        <w:t>пошаговость</w:t>
      </w:r>
      <w:r>
        <w:rPr>
          <w:rFonts w:ascii="Times New Roman" w:hAnsi="Times New Roman"/>
          <w:sz w:val="24"/>
        </w:rPr>
        <w:t>» в изучении материала;</w:t>
      </w:r>
      <w:r>
        <w:rPr>
          <w:rFonts w:ascii="Times New Roman" w:hAnsi="Times New Roman"/>
          <w:sz w:val="24"/>
        </w:rPr>
        <w:t xml:space="preserve"> использование дополнительной визуальной опоры (схемы, шаблоны, опорные таблицы); речевой отчет о процессе и результате деятельности; выполнение </w:t>
      </w:r>
      <w:r>
        <w:rPr>
          <w:rFonts w:ascii="Times New Roman" w:hAnsi="Times New Roman"/>
          <w:sz w:val="24"/>
        </w:rPr>
        <w:t>специальных</w:t>
      </w:r>
      <w:r>
        <w:rPr>
          <w:rFonts w:ascii="Times New Roman" w:hAnsi="Times New Roman"/>
          <w:sz w:val="24"/>
        </w:rPr>
        <w:t xml:space="preserve"> заданий, обеспечивающих коррекцию регуляции учебно-познавательной деятельности и контроль собственного результата.</w:t>
      </w:r>
    </w:p>
    <w:p w14:paraId="3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Тематическая и терминологическая лексика соответствует ООП ООО. </w:t>
      </w:r>
    </w:p>
    <w:p w14:paraId="3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с ЗПР существенным являются приемы работы с лексическим материалом по предмету. Проводится специальная работа по введению в активный словарь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соответствующей терминологии. Изучаемые термины вводятся на </w:t>
      </w:r>
      <w:r>
        <w:rPr>
          <w:rFonts w:ascii="Times New Roman" w:hAnsi="Times New Roman"/>
          <w:sz w:val="24"/>
        </w:rPr>
        <w:t>полисенсорной</w:t>
      </w:r>
      <w:r>
        <w:rPr>
          <w:rFonts w:ascii="Times New Roman" w:hAnsi="Times New Roman"/>
          <w:sz w:val="24"/>
        </w:rPr>
        <w:t xml:space="preserve"> основе, обязательна визуальная поддержка, алгоритмы работы с определением, опорные схемы для актуализации терминологии.</w:t>
      </w:r>
    </w:p>
    <w:p w14:paraId="35000000">
      <w:pPr>
        <w:rPr>
          <w:rFonts w:ascii="Times New Roman" w:hAnsi="Times New Roman"/>
          <w:sz w:val="24"/>
        </w:rPr>
      </w:pPr>
    </w:p>
    <w:p w14:paraId="36000000">
      <w:pPr>
        <w:widowControl w:val="0"/>
        <w:spacing w:after="0" w:line="240" w:lineRule="auto"/>
        <w:ind/>
        <w:jc w:val="both"/>
        <w:rPr>
          <w:rFonts w:ascii="Times New Roman" w:hAnsi="Times New Roman"/>
          <w:caps w:val="1"/>
          <w:sz w:val="24"/>
        </w:rPr>
      </w:pPr>
      <w:r>
        <w:rPr>
          <w:rFonts w:ascii="Times New Roman" w:hAnsi="Times New Roman"/>
          <w:caps w:val="1"/>
          <w:sz w:val="24"/>
        </w:rPr>
        <w:t xml:space="preserve"> рабочая программа </w:t>
      </w:r>
    </w:p>
    <w:p w14:paraId="37000000">
      <w:pPr>
        <w:widowControl w:val="0"/>
        <w:spacing w:after="0" w:line="240" w:lineRule="auto"/>
        <w:ind/>
        <w:jc w:val="both"/>
        <w:rPr>
          <w:rFonts w:ascii="Times New Roman" w:hAnsi="Times New Roman"/>
          <w:caps w:val="1"/>
          <w:sz w:val="24"/>
        </w:rPr>
      </w:pPr>
      <w:r>
        <w:rPr>
          <w:rFonts w:ascii="Times New Roman" w:hAnsi="Times New Roman"/>
          <w:caps w:val="1"/>
          <w:sz w:val="24"/>
        </w:rPr>
        <w:t>учебного курса «Геометрия». 7–9 классы</w:t>
      </w:r>
    </w:p>
    <w:p w14:paraId="38000000">
      <w:pPr>
        <w:widowControl w:val="0"/>
        <w:spacing w:after="0" w:line="240" w:lineRule="auto"/>
        <w:ind w:firstLine="709" w:left="0"/>
        <w:rPr>
          <w:rFonts w:ascii="Times New Roman" w:hAnsi="Times New Roman"/>
          <w:b w:val="1"/>
          <w:caps w:val="1"/>
          <w:sz w:val="24"/>
        </w:rPr>
      </w:pPr>
    </w:p>
    <w:p w14:paraId="39000000">
      <w:pPr>
        <w:widowControl w:val="0"/>
        <w:spacing w:after="0" w:line="240" w:lineRule="auto"/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Цели изучения учебного курса</w:t>
      </w:r>
    </w:p>
    <w:p w14:paraId="3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Общие цели изучения учебного курса «Геометрия» представлены в ПООП ООО. Они заключаются, прежде </w:t>
      </w:r>
      <w:r>
        <w:rPr>
          <w:rFonts w:ascii="Times New Roman" w:hAnsi="Times New Roman"/>
          <w:sz w:val="24"/>
        </w:rPr>
        <w:t>всего</w:t>
      </w:r>
      <w:r>
        <w:rPr>
          <w:rFonts w:ascii="Times New Roman" w:hAnsi="Times New Roman"/>
          <w:sz w:val="24"/>
        </w:rPr>
        <w:t xml:space="preserve"> в том, что на уроках геометрии обучающийся учится проводить доказательные рассуждения, строить логические умозаключения, доказывать истинные утверждения и строить </w:t>
      </w:r>
      <w:r>
        <w:rPr>
          <w:rFonts w:ascii="Times New Roman" w:hAnsi="Times New Roman"/>
          <w:sz w:val="24"/>
        </w:rPr>
        <w:t>контрпримеры</w:t>
      </w:r>
      <w:r>
        <w:rPr>
          <w:rFonts w:ascii="Times New Roman" w:hAnsi="Times New Roman"/>
          <w:sz w:val="24"/>
        </w:rPr>
        <w:t xml:space="preserve"> к ложным, проводить рассуждения «от противного», отличать свойства от признаков, формулировать обратные утверждения. В обучении умению рассуждать состоит важное воспитательное значение изучения геометрии, присущее именно отечественной математической школе.</w:t>
      </w:r>
    </w:p>
    <w:p w14:paraId="3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Этому соответствует вторая, вычислительная линия в изучении геометрии в школе. Для этого учителю рекомендуется подбирать задачи практического характера для рассматриваемых тем, </w:t>
      </w:r>
      <w:r>
        <w:rPr>
          <w:rFonts w:ascii="Times New Roman" w:hAnsi="Times New Roman"/>
          <w:sz w:val="24"/>
        </w:rPr>
        <w:t>учить обучающихся строить</w:t>
      </w:r>
      <w:r>
        <w:rPr>
          <w:rFonts w:ascii="Times New Roman" w:hAnsi="Times New Roman"/>
          <w:sz w:val="24"/>
        </w:rPr>
        <w:t xml:space="preserve"> математические модели реальных жизненных ситуаций, проводить вычисления и оценивать адекватность полученного результата. Крайне важно подчёркивать связи геометрии с другими предметами, мотивировать использовать определения геометрических фигур и понятий, демонстрировать применение полученных умений в физике и технике. Эти связи наиболее ярко видны в темах «Векторы», «Тригонометрические соотношения», «Метод координат» и «Теорема Пифагора».</w:t>
      </w:r>
    </w:p>
    <w:p w14:paraId="3C00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b w:val="1"/>
          <w:caps w:val="1"/>
          <w:sz w:val="24"/>
        </w:rPr>
      </w:pPr>
    </w:p>
    <w:p w14:paraId="3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Место учебного курса в учебном плане</w:t>
      </w:r>
    </w:p>
    <w:p w14:paraId="3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Согласно учебному плану в 7–9 классах изучается учебный курс «Геометрия», который включает следующие основные разделы содержания: «Геометрические фигуры и их свойства», «Измерение геометрических величин», а также «Декартовы ­координаты на плоскости», «Векторы», «Движения плоскости» и «Преобразования подобия».</w:t>
      </w:r>
    </w:p>
    <w:p w14:paraId="3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Учебный план предусматривает изучение геометрии на базовом уровне, исходя из не менее 68 учебных часов в учебном году, всего за три года обучения – не менее 204 часов.</w:t>
      </w:r>
    </w:p>
    <w:p w14:paraId="4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4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42000000">
      <w:pPr>
        <w:widowControl w:val="0"/>
        <w:spacing w:after="0" w:line="240" w:lineRule="auto"/>
        <w:ind/>
        <w:jc w:val="both"/>
        <w:rPr>
          <w:rFonts w:ascii="Times New Roman" w:hAnsi="Times New Roman"/>
          <w:b w:val="1"/>
          <w:caps w:val="1"/>
          <w:sz w:val="24"/>
        </w:rPr>
      </w:pPr>
      <w:r>
        <w:rPr>
          <w:rFonts w:ascii="Times New Roman" w:hAnsi="Times New Roman"/>
          <w:b w:val="1"/>
          <w:caps w:val="1"/>
          <w:sz w:val="24"/>
        </w:rPr>
        <w:t>Содержание учебного курса (по годам обучения)</w:t>
      </w:r>
    </w:p>
    <w:p w14:paraId="43000000">
      <w:pPr>
        <w:widowControl w:val="0"/>
        <w:spacing w:after="0" w:line="240" w:lineRule="auto"/>
        <w:ind w:firstLine="709" w:left="0"/>
        <w:rPr>
          <w:rFonts w:ascii="Times New Roman" w:hAnsi="Times New Roman"/>
          <w:b w:val="1"/>
          <w:caps w:val="1"/>
          <w:sz w:val="24"/>
        </w:rPr>
      </w:pPr>
    </w:p>
    <w:p w14:paraId="44000000">
      <w:pPr>
        <w:widowControl w:val="0"/>
        <w:spacing w:after="0" w:line="240" w:lineRule="auto"/>
        <w:ind/>
        <w:rPr>
          <w:rFonts w:ascii="Times New Roman" w:hAnsi="Times New Roman"/>
          <w:b w:val="1"/>
          <w:caps w:val="1"/>
          <w:sz w:val="24"/>
        </w:rPr>
      </w:pPr>
      <w:r>
        <w:rPr>
          <w:rFonts w:ascii="Times New Roman" w:hAnsi="Times New Roman"/>
          <w:b w:val="1"/>
          <w:caps w:val="1"/>
          <w:sz w:val="24"/>
        </w:rPr>
        <w:t>7 класс</w:t>
      </w:r>
    </w:p>
    <w:p w14:paraId="4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Начальные понятия геометрии. Точка, прямая, отрезок, луч. Угол. Виды углов. Вертикальные и смежные углы. Биссектриса угла. </w:t>
      </w:r>
      <w:r>
        <w:rPr>
          <w:rFonts w:ascii="Times New Roman" w:hAnsi="Times New Roman"/>
          <w:sz w:val="24"/>
        </w:rPr>
        <w:t>Ломаная</w:t>
      </w:r>
      <w:r>
        <w:rPr>
          <w:rFonts w:ascii="Times New Roman" w:hAnsi="Times New Roman"/>
          <w:sz w:val="24"/>
        </w:rPr>
        <w:t xml:space="preserve">, многоугольник. Параллельность и перпендикулярность </w:t>
      </w:r>
      <w:r>
        <w:rPr>
          <w:rFonts w:ascii="Times New Roman" w:hAnsi="Times New Roman"/>
          <w:sz w:val="24"/>
        </w:rPr>
        <w:t>прямых</w:t>
      </w:r>
      <w:r>
        <w:rPr>
          <w:rFonts w:ascii="Times New Roman" w:hAnsi="Times New Roman"/>
          <w:sz w:val="24"/>
        </w:rPr>
        <w:t>.</w:t>
      </w:r>
    </w:p>
    <w:p w14:paraId="4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Симметричные фигуры. Основные свойства осевой симметрии</w:t>
      </w:r>
      <w:r>
        <w:rPr>
          <w:rStyle w:val="Style_2_ch"/>
          <w:rFonts w:ascii="Times New Roman" w:hAnsi="Times New Roman"/>
          <w:i w:val="1"/>
          <w:sz w:val="24"/>
        </w:rPr>
        <w:footnoteReference w:id="1"/>
      </w:r>
      <w:r>
        <w:rPr>
          <w:rFonts w:ascii="Times New Roman" w:hAnsi="Times New Roman"/>
          <w:sz w:val="24"/>
        </w:rPr>
        <w:t>. Примеры симметрии в окружающем мире.</w:t>
      </w:r>
    </w:p>
    <w:p w14:paraId="4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Основные построения с помощью циркуля и линейки</w:t>
      </w:r>
      <w:r>
        <w:rPr>
          <w:rFonts w:ascii="Times New Roman" w:hAnsi="Times New Roman"/>
          <w:sz w:val="24"/>
        </w:rPr>
        <w:t>.</w:t>
      </w:r>
    </w:p>
    <w:p w14:paraId="48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Треугольник. Высота, медиана, биссектриса, их свойства. Равнобедренный и равносторонний треугольники. Неравенство треугольника.</w:t>
      </w:r>
    </w:p>
    <w:p w14:paraId="49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Свойства и признаки равнобедренного треугольника. Признаки равенства треугольников.</w:t>
      </w:r>
    </w:p>
    <w:p w14:paraId="4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Свойства и признаки </w:t>
      </w:r>
      <w:r>
        <w:rPr>
          <w:rFonts w:ascii="Times New Roman" w:hAnsi="Times New Roman"/>
          <w:sz w:val="24"/>
        </w:rPr>
        <w:t>параллельных</w:t>
      </w:r>
      <w:r>
        <w:rPr>
          <w:rFonts w:ascii="Times New Roman" w:hAnsi="Times New Roman"/>
          <w:sz w:val="24"/>
        </w:rPr>
        <w:t xml:space="preserve"> прямых. Сумма углов треугольника. Внешние углы треугольника.</w:t>
      </w:r>
    </w:p>
    <w:p w14:paraId="4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Прямоугольный треугольник. Свойство медианы прямоугольного треугольника, проведённой к гипотенузе. Признаки равенства прямоугольных треугольников. Прямоугольный треугольник с углом в 30</w:t>
      </w:r>
      <w:r>
        <w:rPr>
          <w:rFonts w:ascii="Times New Roman" w:hAnsi="Times New Roman"/>
          <w:sz w:val="24"/>
          <w:vertAlign w:val="superscript"/>
        </w:rPr>
        <w:t>о</w:t>
      </w:r>
      <w:r>
        <w:rPr>
          <w:rFonts w:ascii="Times New Roman" w:hAnsi="Times New Roman"/>
          <w:sz w:val="24"/>
        </w:rPr>
        <w:t>.</w:t>
      </w:r>
    </w:p>
    <w:p w14:paraId="4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Неравенства в геометрии: </w:t>
      </w:r>
      <w:r>
        <w:rPr>
          <w:rFonts w:ascii="Times New Roman" w:hAnsi="Times New Roman"/>
          <w:i w:val="1"/>
          <w:sz w:val="24"/>
        </w:rPr>
        <w:t>неравенство треугольника</w:t>
      </w:r>
      <w:r>
        <w:rPr>
          <w:rFonts w:ascii="Times New Roman" w:hAnsi="Times New Roman"/>
          <w:sz w:val="24"/>
        </w:rPr>
        <w:t>, неравенство о длине ломаной, теорема о большем угле и большей стороне треугольника. Перпендикуляр и наклонная.</w:t>
      </w:r>
    </w:p>
    <w:p w14:paraId="4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Геометрическое место точек</w:t>
      </w:r>
      <w:r>
        <w:rPr>
          <w:rFonts w:ascii="Times New Roman" w:hAnsi="Times New Roman"/>
          <w:sz w:val="24"/>
        </w:rPr>
        <w:t>. Биссектриса угла и серединный перпендикуляр к отрезку как геометрические места точек.</w:t>
      </w:r>
    </w:p>
    <w:p w14:paraId="4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Окружность и круг, хорда и диаметр, их свойства. Взаимное расположение окружности и прямой. Касательная и секущая к окружности. Окружность, вписанная в угол. Вписанная и описанная окружности треугольника.</w:t>
      </w:r>
    </w:p>
    <w:p w14:paraId="4F000000">
      <w:pPr>
        <w:widowControl w:val="0"/>
        <w:spacing w:after="0" w:line="240" w:lineRule="auto"/>
        <w:ind w:firstLine="709" w:left="0"/>
        <w:rPr>
          <w:rFonts w:ascii="Times New Roman" w:hAnsi="Times New Roman"/>
          <w:b w:val="1"/>
          <w:caps w:val="1"/>
          <w:sz w:val="24"/>
        </w:rPr>
      </w:pPr>
    </w:p>
    <w:p w14:paraId="50000000">
      <w:pPr>
        <w:widowControl w:val="0"/>
        <w:spacing w:after="0" w:line="240" w:lineRule="auto"/>
        <w:ind/>
        <w:rPr>
          <w:rFonts w:ascii="Times New Roman" w:hAnsi="Times New Roman"/>
          <w:b w:val="1"/>
          <w:caps w:val="1"/>
          <w:sz w:val="24"/>
        </w:rPr>
      </w:pPr>
      <w:r>
        <w:rPr>
          <w:rFonts w:ascii="Times New Roman" w:hAnsi="Times New Roman"/>
          <w:b w:val="1"/>
          <w:caps w:val="1"/>
          <w:sz w:val="24"/>
        </w:rPr>
        <w:t>8 класс</w:t>
      </w:r>
    </w:p>
    <w:p w14:paraId="5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Четырёхугольники. Параллелограмм, его признаки и свойства. Частные случаи параллелограммов (прямоугольник, ромб, квадрат), их признаки и свойства. Трапеция, равнобокая трапеция, её свойства и признаки. Прямоугольная трапеция.</w:t>
      </w:r>
    </w:p>
    <w:p w14:paraId="5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Метод удвоения медианы. Центральная симметрия</w:t>
      </w:r>
      <w:r>
        <w:rPr>
          <w:rFonts w:ascii="Times New Roman" w:hAnsi="Times New Roman"/>
          <w:sz w:val="24"/>
        </w:rPr>
        <w:t>.</w:t>
      </w:r>
    </w:p>
    <w:p w14:paraId="53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Теорема Фалеса и теорема о пропорциональных отрезках</w:t>
      </w:r>
      <w:r>
        <w:rPr>
          <w:rFonts w:ascii="Times New Roman" w:hAnsi="Times New Roman"/>
          <w:sz w:val="24"/>
        </w:rPr>
        <w:t>. Средние линии треугольника и трапеции</w:t>
      </w:r>
      <w:r>
        <w:rPr>
          <w:rFonts w:ascii="Times New Roman" w:hAnsi="Times New Roman"/>
          <w:i w:val="1"/>
          <w:sz w:val="24"/>
        </w:rPr>
        <w:t>. Центр масс треугольника</w:t>
      </w:r>
      <w:r>
        <w:rPr>
          <w:rFonts w:ascii="Times New Roman" w:hAnsi="Times New Roman"/>
          <w:sz w:val="24"/>
        </w:rPr>
        <w:t>.</w:t>
      </w:r>
    </w:p>
    <w:p w14:paraId="54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Подобие треугольников, коэффициент подобия. Признаки подобия треугольников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Применение подобия при решении практических задач.</w:t>
      </w:r>
    </w:p>
    <w:p w14:paraId="5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Свойства площадей геометрических фигур. Формулы для площади треугольника, параллелограмма, ромба и трапеции. Отношение площадей подобных фигур.</w:t>
      </w:r>
    </w:p>
    <w:p w14:paraId="5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Вычисление площадей треугольников и многоугольников на клетчатой бумаге.</w:t>
      </w:r>
    </w:p>
    <w:p w14:paraId="5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Теорема Пифагора. Применение теоремы Пифагора при решении практических задач.</w:t>
      </w:r>
    </w:p>
    <w:p w14:paraId="58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Синус, косинус, тангенс острого угла прямоугольного треугольника. Основное тригонометрическое тождество. Тригонометрические функции углов в 30</w:t>
      </w:r>
      <w:r>
        <w:rPr>
          <w:rFonts w:ascii="Times New Roman" w:hAnsi="Times New Roman"/>
          <w:sz w:val="24"/>
          <w:vertAlign w:val="superscript"/>
        </w:rPr>
        <w:t>о</w:t>
      </w:r>
      <w:r>
        <w:rPr>
          <w:rFonts w:ascii="Times New Roman" w:hAnsi="Times New Roman"/>
          <w:sz w:val="24"/>
        </w:rPr>
        <w:t>, 45</w:t>
      </w:r>
      <w:r>
        <w:rPr>
          <w:rFonts w:ascii="Times New Roman" w:hAnsi="Times New Roman"/>
          <w:sz w:val="24"/>
          <w:vertAlign w:val="superscript"/>
        </w:rPr>
        <w:t>о</w:t>
      </w:r>
      <w:r>
        <w:rPr>
          <w:rFonts w:ascii="Times New Roman" w:hAnsi="Times New Roman"/>
          <w:sz w:val="24"/>
        </w:rPr>
        <w:t xml:space="preserve"> и 60</w:t>
      </w:r>
      <w:r>
        <w:rPr>
          <w:rFonts w:ascii="Times New Roman" w:hAnsi="Times New Roman"/>
          <w:sz w:val="24"/>
          <w:vertAlign w:val="superscript"/>
        </w:rPr>
        <w:t>о</w:t>
      </w:r>
      <w:r>
        <w:rPr>
          <w:rFonts w:ascii="Times New Roman" w:hAnsi="Times New Roman"/>
          <w:sz w:val="24"/>
        </w:rPr>
        <w:t>.</w:t>
      </w:r>
    </w:p>
    <w:p w14:paraId="59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Вписанные и центральные углы, угол между касательной и хордой. Углы между хордами и секущими. Вписанные и описанные четырёхугольники. Взаимное расположение двух окружностей. Касание окружностей. Общие касательные к двум окружностям.</w:t>
      </w:r>
    </w:p>
    <w:p w14:paraId="5A000000">
      <w:pPr>
        <w:widowControl w:val="0"/>
        <w:spacing w:after="0" w:line="240" w:lineRule="auto"/>
        <w:ind w:firstLine="709" w:left="0"/>
        <w:rPr>
          <w:rFonts w:ascii="Times New Roman" w:hAnsi="Times New Roman"/>
          <w:b w:val="1"/>
          <w:caps w:val="1"/>
          <w:sz w:val="24"/>
        </w:rPr>
      </w:pPr>
    </w:p>
    <w:p w14:paraId="5B000000">
      <w:pPr>
        <w:widowControl w:val="0"/>
        <w:spacing w:after="0" w:line="240" w:lineRule="auto"/>
        <w:ind/>
        <w:rPr>
          <w:rFonts w:ascii="Times New Roman" w:hAnsi="Times New Roman"/>
          <w:b w:val="1"/>
          <w:caps w:val="1"/>
          <w:sz w:val="24"/>
        </w:rPr>
      </w:pPr>
      <w:r>
        <w:rPr>
          <w:rFonts w:ascii="Times New Roman" w:hAnsi="Times New Roman"/>
          <w:b w:val="1"/>
          <w:caps w:val="1"/>
          <w:sz w:val="24"/>
        </w:rPr>
        <w:t>9 класс</w:t>
      </w:r>
    </w:p>
    <w:p w14:paraId="5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Синус, косинус, тангенс углов от 0</w:t>
      </w:r>
      <w:r>
        <w:rPr>
          <w:rFonts w:ascii="Times New Roman" w:hAnsi="Times New Roman"/>
          <w:sz w:val="24"/>
          <w:vertAlign w:val="superscript"/>
        </w:rPr>
        <w:t>о</w:t>
      </w:r>
      <w:r>
        <w:rPr>
          <w:rFonts w:ascii="Times New Roman" w:hAnsi="Times New Roman"/>
          <w:sz w:val="24"/>
        </w:rPr>
        <w:t xml:space="preserve"> до 180</w:t>
      </w:r>
      <w:r>
        <w:rPr>
          <w:rFonts w:ascii="Times New Roman" w:hAnsi="Times New Roman"/>
          <w:sz w:val="24"/>
          <w:vertAlign w:val="superscript"/>
        </w:rPr>
        <w:t>о</w:t>
      </w:r>
      <w:r>
        <w:rPr>
          <w:rFonts w:ascii="Times New Roman" w:hAnsi="Times New Roman"/>
          <w:sz w:val="24"/>
        </w:rPr>
        <w:t>. Основное тригонометрическое тождество. Формулы приведения.</w:t>
      </w:r>
    </w:p>
    <w:p w14:paraId="5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треугольников. Теорема косинусов и теорема синусов. Решение практических задач с использованием теоремы косинусов и теоремы синусов.</w:t>
      </w:r>
    </w:p>
    <w:p w14:paraId="5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Преобразование подобия. Подобие соответственных элементов.</w:t>
      </w:r>
    </w:p>
    <w:p w14:paraId="5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Теорема о произведении отрезков хорд, теоремы о произведении отрезков секущих, теорема о квадрате касательной.</w:t>
      </w:r>
    </w:p>
    <w:p w14:paraId="6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Вектор, длина (модуль) вектора, </w:t>
      </w:r>
      <w:r>
        <w:rPr>
          <w:rFonts w:ascii="Times New Roman" w:hAnsi="Times New Roman"/>
          <w:sz w:val="24"/>
        </w:rPr>
        <w:t>сонаправленные</w:t>
      </w:r>
      <w:r>
        <w:rPr>
          <w:rFonts w:ascii="Times New Roman" w:hAnsi="Times New Roman"/>
          <w:sz w:val="24"/>
        </w:rPr>
        <w:t xml:space="preserve"> векторы, противоположно направленные векторы, </w:t>
      </w:r>
      <w:r>
        <w:rPr>
          <w:rFonts w:ascii="Times New Roman" w:hAnsi="Times New Roman"/>
          <w:sz w:val="24"/>
        </w:rPr>
        <w:t>коллинеарность</w:t>
      </w:r>
      <w:r>
        <w:rPr>
          <w:rFonts w:ascii="Times New Roman" w:hAnsi="Times New Roman"/>
          <w:sz w:val="24"/>
        </w:rPr>
        <w:t xml:space="preserve"> векторов, равенство векторов, операции над векторами.</w:t>
      </w:r>
      <w:r>
        <w:rPr>
          <w:rFonts w:ascii="Times New Roman" w:hAnsi="Times New Roman"/>
          <w:sz w:val="24"/>
        </w:rPr>
        <w:t xml:space="preserve"> Разложение вектора по двум неколлинеарным векторам. Координаты вектора. Скалярное произведение векторов, применение для нахождения длин и углов.</w:t>
      </w:r>
    </w:p>
    <w:p w14:paraId="6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Декартовы координаты на плоскости. </w:t>
      </w:r>
      <w:r>
        <w:rPr>
          <w:rFonts w:ascii="Times New Roman" w:hAnsi="Times New Roman"/>
          <w:i w:val="1"/>
          <w:sz w:val="24"/>
        </w:rPr>
        <w:t>Уравнения прямой</w:t>
      </w:r>
      <w:r>
        <w:rPr>
          <w:rFonts w:ascii="Times New Roman" w:hAnsi="Times New Roman"/>
          <w:sz w:val="24"/>
        </w:rPr>
        <w:t xml:space="preserve"> и окружности в координатах, пересечение окружностей и прямых. Метод координат и его применение.</w:t>
      </w:r>
    </w:p>
    <w:p w14:paraId="6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Правильные многоугольники. Длина окружности. Градусная и радианная мера угла, вычисление длин дуг окружностей. Площадь круга, сектора, сегмента.</w:t>
      </w:r>
    </w:p>
    <w:p w14:paraId="63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Движения плоскости и внутренние симметрии фигур (элементарные представления). Параллельный перенос. Поворот.</w:t>
      </w:r>
    </w:p>
    <w:p w14:paraId="6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6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Контрольно-измерительные материалы</w:t>
      </w:r>
    </w:p>
    <w:p w14:paraId="6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Проведение </w:t>
      </w:r>
      <w:r>
        <w:rPr>
          <w:rFonts w:ascii="Times New Roman" w:hAnsi="Times New Roman"/>
          <w:sz w:val="24"/>
        </w:rPr>
        <w:t>оценки достижений планируемых результатов освоения учебного предмета</w:t>
      </w:r>
      <w:r>
        <w:rPr>
          <w:rFonts w:ascii="Times New Roman" w:hAnsi="Times New Roman"/>
          <w:sz w:val="24"/>
        </w:rPr>
        <w:t xml:space="preserve"> проводится в форме текущего и рубежного контроля в виде: контрольные работы, самостоятельные работы, зачеты, математические диктанты, практические работы, письменный ответ по индивидуальным карточкам-заданиям, тестирование.</w:t>
      </w:r>
    </w:p>
    <w:p w14:paraId="6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обучающихся с ЗПР возможно изменение формулировки заданий на «пошаговую», адаптацию предлагаемого </w:t>
      </w:r>
      <w:r>
        <w:rPr>
          <w:rFonts w:ascii="Times New Roman" w:hAnsi="Times New Roman"/>
          <w:sz w:val="24"/>
        </w:rPr>
        <w:t>обучающемуся</w:t>
      </w:r>
      <w:r>
        <w:rPr>
          <w:rFonts w:ascii="Times New Roman" w:hAnsi="Times New Roman"/>
          <w:sz w:val="24"/>
        </w:rPr>
        <w:t xml:space="preserve"> тестового (контрольно-оценочного) материала: использование устных и письменных инструкций, упрощение длинных сложных формулировок инструкций, решение с опорой на алгоритм, образец, использование справочной информации. </w:t>
      </w:r>
    </w:p>
    <w:p w14:paraId="68000000">
      <w:pPr>
        <w:spacing w:after="0" w:line="240" w:lineRule="auto"/>
        <w:ind/>
        <w:rPr>
          <w:rFonts w:ascii="Times New Roman" w:hAnsi="Times New Roman"/>
          <w:b w:val="1"/>
          <w:caps w:val="1"/>
          <w:sz w:val="24"/>
        </w:rPr>
      </w:pPr>
      <w:r>
        <w:rPr>
          <w:rFonts w:ascii="Times New Roman" w:hAnsi="Times New Roman"/>
          <w:b w:val="1"/>
          <w:sz w:val="24"/>
        </w:rPr>
        <w:t>ПЛАНИРУЕМЫЕ РЕЗУЛЬТАТЫ ОСВОЕНИЯ УЧЕБНОГО ПРЕДМЕТА «МАТЕМАТИКА» НА УРОВНЕ ОСНОВНОГО ОБЩЕГО ОБРАЗОВАНИЯ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sz w:val="24"/>
        </w:rPr>
      </w:pPr>
      <w:r>
        <w:rPr>
          <w:rFonts w:ascii="Times New Roman" w:hAnsi="Times New Roman"/>
          <w:b w:val="1"/>
          <w:caps w:val="1"/>
          <w:sz w:val="24"/>
        </w:rPr>
        <w:t>Личностные результаты: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мотивация к обучению математике и целенаправленной познавательной деятельности;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повышение уровня своей компетентности через практическую деятельность, требующую математических знаний, в том числе умение учиться у других людей;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способность осознавать стрессовую ситуацию, быть готовым действовать в отсутствие гарантий успеха;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способность обучающихся с ЗПР к осознанию своих дефицитов и проявление стремления к их преодолению;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способность к саморазвитию, умение ставить достижимые цели;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умение различать учебные ситуации, в которых можно действовать самостоятельно, и ситуации, где следует воспользоваться справочной информацией или другими вспомогательными средствами; 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способность переносить полученные в ходе обучения знания в актуальную ситуацию (при решении житейских задач, требующих математических знаний); 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способность ориентироваться в требованиях и правилах проведения промежуточной и итоговой аттестации; 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овладение основами финансовой грамотности.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sz w:val="24"/>
        </w:rPr>
      </w:pPr>
      <w:r>
        <w:rPr>
          <w:rFonts w:ascii="Times New Roman" w:hAnsi="Times New Roman"/>
          <w:b w:val="1"/>
          <w:caps w:val="1"/>
          <w:sz w:val="24"/>
        </w:rPr>
        <w:t>Метапредметные результаты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Овладение универсальными учебными познавательными действиями: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устанавливать причинно-следственные связи в ходе усвоения математического материала; </w:t>
      </w:r>
    </w:p>
    <w:p w14:paraId="7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выявлять дефицит данных, необходимых для решения поставленной задачи;</w:t>
      </w:r>
    </w:p>
    <w:p w14:paraId="7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помощью учителя выбирать способ решения математической задачи (сравнивать возможные варианты решения);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применять и преобразовывать знаки и символы в ходе решения математических задач;</w:t>
      </w: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устанавливать искомое и данное при решении математической задачи;</w:t>
      </w:r>
    </w:p>
    <w:p w14:paraId="7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понимать и интерпретировать информацию различных видов и форм представления;</w:t>
      </w:r>
    </w:p>
    <w:p w14:paraId="7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иллюстрировать решаемые задачи графическими схемами;</w:t>
      </w:r>
    </w:p>
    <w:p w14:paraId="7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эффективно запоминать и систематизировать информацию.</w:t>
      </w:r>
    </w:p>
    <w:p w14:paraId="7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понимать и использовать математические средства наглядности (графики, диаграммы, таблицы, схемы и др.) для иллюстрации, интерпретации, аргументации.</w:t>
      </w: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Овладение универсальными учебными коммуникативными действиями:</w:t>
      </w:r>
    </w:p>
    <w:p w14:paraId="81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организовывать учебное сотрудничество и совместную деятельность с учителем и сверстниками в процессе решения задач;</w:t>
      </w:r>
    </w:p>
    <w:p w14:paraId="8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прогнозировать возникновение конфликтов при наличии разных точек зрения и разрешать конфликты на основе учёта интересов и позиций всех участников;</w:t>
      </w:r>
    </w:p>
    <w:p w14:paraId="8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14:paraId="8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выполнять свою часть работы, достигать качественного результата и координировать свои действия с другими членами команды;</w:t>
      </w:r>
    </w:p>
    <w:p w14:paraId="8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оценивать качество своего вклада в общий продукт.</w:t>
      </w:r>
    </w:p>
    <w:p w14:paraId="87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Овладение универсальными учебными регулятивными действиями:</w:t>
      </w:r>
    </w:p>
    <w:p w14:paraId="8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ставить цели, выбирать и создавать алгоритмы для решения учебных математических проблем;</w:t>
      </w:r>
    </w:p>
    <w:p w14:paraId="8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планировать и осуществлять деятельность, направленную на решение задач исследовательского характера.</w:t>
      </w:r>
    </w:p>
    <w:p w14:paraId="8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формулировать и удерживать учебную задачу, составлять план и последовательность действий;</w:t>
      </w:r>
    </w:p>
    <w:p w14:paraId="8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осуществлять контроль по образцу и вносить не</w:t>
      </w:r>
      <w:r>
        <w:rPr>
          <w:rFonts w:ascii="Times New Roman" w:hAnsi="Times New Roman"/>
          <w:sz w:val="24"/>
        </w:rPr>
        <w:t>обходимые коррективы;</w:t>
      </w:r>
    </w:p>
    <w:p w14:paraId="8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контролировать процесс и результат учебной математической деятельности;</w:t>
      </w:r>
    </w:p>
    <w:p w14:paraId="8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14:paraId="8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сличать способ действия и его результат с заданным эталоном с целью обнаружения отклонений и отличий от эталона.</w:t>
      </w:r>
    </w:p>
    <w:p w14:paraId="8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предвидеть трудности, которые могут возникнуть при решении учебной задачи;</w:t>
      </w:r>
    </w:p>
    <w:p w14:paraId="9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понимать причины, по которым не </w:t>
      </w:r>
      <w:r>
        <w:rPr>
          <w:rFonts w:ascii="Times New Roman" w:hAnsi="Times New Roman"/>
          <w:sz w:val="24"/>
        </w:rPr>
        <w:t>был</w:t>
      </w:r>
      <w:r>
        <w:rPr>
          <w:rFonts w:ascii="Times New Roman" w:hAnsi="Times New Roman"/>
          <w:sz w:val="24"/>
        </w:rPr>
        <w:t xml:space="preserve"> достигнут требуемый результат деятельности, определять позитивные изменения и направления, требующие дальнейшей работы;</w:t>
      </w:r>
    </w:p>
    <w:p w14:paraId="91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регулировать способ выражения эмоций.</w:t>
      </w:r>
    </w:p>
    <w:p w14:paraId="92000000">
      <w:pPr>
        <w:spacing w:after="0" w:line="240" w:lineRule="auto"/>
        <w:ind w:firstLine="709" w:left="425"/>
        <w:rPr>
          <w:rFonts w:ascii="Times New Roman" w:hAnsi="Times New Roman"/>
          <w:b w:val="1"/>
          <w:sz w:val="24"/>
        </w:rPr>
      </w:pPr>
    </w:p>
    <w:p w14:paraId="93000000">
      <w:pPr>
        <w:widowControl w:val="0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ПРЕДМЕТНЫЕ РЕЗУЛЬТАТЫ</w:t>
      </w:r>
    </w:p>
    <w:p w14:paraId="94000000">
      <w:pPr>
        <w:widowControl w:val="0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Результаты освоения учебного предмета «Математика (включая алгебру, геометрию, вероятность и статистику)», распределенные по годам обучения, формулируются по принципу добавления новых результатов от года к году, уже названные в предыдущих годах позиции, как правило, дословно не повторяются, но учитываются (результаты очередного года по умолчанию включают результаты предыдущих лет). </w:t>
      </w:r>
    </w:p>
    <w:p w14:paraId="95000000">
      <w:pPr>
        <w:widowControl w:val="0"/>
        <w:spacing w:after="0" w:line="240" w:lineRule="auto"/>
        <w:ind w:firstLine="0" w:left="709"/>
        <w:rPr>
          <w:rFonts w:ascii="Times New Roman" w:hAnsi="Times New Roman"/>
          <w:b w:val="1"/>
          <w:caps w:val="1"/>
          <w:sz w:val="24"/>
        </w:rPr>
      </w:pPr>
      <w:r>
        <w:rPr>
          <w:rFonts w:ascii="Times New Roman" w:hAnsi="Times New Roman"/>
          <w:b w:val="1"/>
          <w:caps w:val="1"/>
          <w:sz w:val="24"/>
        </w:rPr>
        <w:t>планируемые Предметные результаты освоения рабочей программы курса «геометрия»  (по годам обучения)</w:t>
      </w:r>
    </w:p>
    <w:p w14:paraId="9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Освоение учебного курса «Геометрия» на уровне основного общего образования должно обеспечивать достижение следующих предметных образовательных результатов:</w:t>
      </w:r>
    </w:p>
    <w:p w14:paraId="9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98000000">
      <w:pPr>
        <w:widowControl w:val="0"/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 КЛАСС</w:t>
      </w:r>
    </w:p>
    <w:p w14:paraId="99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Распознавать изученные геометрические фигуры, определять их взаимное расположение, изображать геометрические фигуры; выполнять чертежи по условию задачи. Измерять линейные и угловые величины. Решать задачи на вычисление длин отрезков и величин углов.</w:t>
      </w:r>
    </w:p>
    <w:p w14:paraId="9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Делать грубую оценку линейных и угловых величин предметов в реальной жизни, размеров природных объектов. Различать размеры этих объектов по порядку величины.</w:t>
      </w:r>
    </w:p>
    <w:p w14:paraId="9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Строить чертежи к геометрическим задачам (с использованием смысловой опоры: наводящие вопросы и/или алгоритма учебных действий).</w:t>
      </w:r>
    </w:p>
    <w:p w14:paraId="9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Пользоваться признаками равенства треугольников, использовать признаки и свойства равнобедренных треугольников при решении задач.</w:t>
      </w:r>
    </w:p>
    <w:p w14:paraId="9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Проводить доказательства несложных геометрических теорем.</w:t>
      </w:r>
    </w:p>
    <w:p w14:paraId="9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Пользоваться признаками равенства прямоугольных треугольников, свойством медианы, проведённой к гипотенузе прямоугольного треугольника, в решении геометрических задач (с использованием зрительной наглядности и/или вербальной опоры).</w:t>
      </w:r>
    </w:p>
    <w:p w14:paraId="9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Определять параллельность прямых с помощью углов, которые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 w14:paraId="A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Решать задачи на клетчатой бумаге.</w:t>
      </w:r>
    </w:p>
    <w:p w14:paraId="A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многоугольников, свойств углов, образованных при пересечении двух параллельных прямых секущей. Решать практические задачи на нахождение углов.</w:t>
      </w:r>
    </w:p>
    <w:p w14:paraId="A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Иметь представление о понятие геометрического места точек. </w:t>
      </w:r>
    </w:p>
    <w:p w14:paraId="A3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Формулировать определения окружности и круга, хорды и диаметра окружности, пользоваться их свойствами. Уметь применять эти свойства при решении задач.</w:t>
      </w:r>
    </w:p>
    <w:p w14:paraId="A4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Ориентироваться в понятиях: описанная около треугольника окружность, центр описанной окружности. Оперировать на базовом уровне </w:t>
      </w:r>
      <w:r>
        <w:rPr>
          <w:rFonts w:ascii="Times New Roman" w:hAnsi="Times New Roman"/>
          <w:sz w:val="24"/>
        </w:rPr>
        <w:t>фактами о том</w:t>
      </w:r>
      <w:r>
        <w:rPr>
          <w:rFonts w:ascii="Times New Roman" w:hAnsi="Times New Roman"/>
          <w:sz w:val="24"/>
        </w:rPr>
        <w:t>, что биссектрисы углов треугольника пересекаются в одной точке, и о том, что серединные перпендикуляры к сторонам треугольника пересекаются в одной точке.</w:t>
      </w:r>
    </w:p>
    <w:p w14:paraId="A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Ориентироваться в понятиях и оперировать на базовом уровне: касательная к окружности, теорема о перпендикулярности касательной и радиуса, проведённого к точке касания.</w:t>
      </w:r>
    </w:p>
    <w:p w14:paraId="A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Иметь представление о простейших геометрических неравенств, их практическом смысле.</w:t>
      </w:r>
    </w:p>
    <w:p w14:paraId="A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Проводить основные геометрические построения с помощью циркуля и линейки.</w:t>
      </w:r>
    </w:p>
    <w:p w14:paraId="A8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A9000000">
      <w:pPr>
        <w:spacing w:after="0"/>
        <w:ind w:firstLine="0" w:left="120"/>
      </w:pPr>
      <w:bookmarkStart w:id="3" w:name="block-2295089"/>
      <w:bookmarkEnd w:id="3"/>
      <w:bookmarkStart w:id="4" w:name="block-2295086"/>
      <w:bookmarkEnd w:id="4"/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 xml:space="preserve">ТЕМАТИЧЕСКОЕ ПЛАНИРОВАНИЕ </w:t>
      </w:r>
    </w:p>
    <w:p w14:paraId="AA000000">
      <w:pPr>
        <w:spacing w:after="0"/>
        <w:ind w:firstLine="0" w:left="120"/>
      </w:pPr>
    </w:p>
    <w:p w14:paraId="AB00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7 КЛАСС 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85"/>
        <w:gridCol w:w="2640"/>
        <w:gridCol w:w="1017"/>
        <w:gridCol w:w="1745"/>
        <w:gridCol w:w="1829"/>
        <w:gridCol w:w="2757"/>
      </w:tblGrid>
      <w:tr>
        <w:trPr>
          <w:trHeight w:hRule="atLeast" w:val="144"/>
        </w:trPr>
        <w:tc>
          <w:tcPr>
            <w:tcW w:type="dxa" w:w="4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AD000000">
            <w:pPr>
              <w:spacing w:after="0"/>
              <w:ind w:firstLine="0" w:left="135"/>
            </w:pPr>
          </w:p>
        </w:tc>
        <w:tc>
          <w:tcPr>
            <w:tcW w:type="dxa" w:w="26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F000000">
            <w:pPr>
              <w:spacing w:after="0"/>
              <w:ind w:firstLine="0" w:left="135"/>
            </w:pPr>
          </w:p>
        </w:tc>
        <w:tc>
          <w:tcPr>
            <w:tcW w:type="dxa" w:w="45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0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7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20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6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4000000">
            <w:pPr>
              <w:spacing w:after="0"/>
              <w:ind w:firstLine="0" w:left="135"/>
            </w:pPr>
          </w:p>
        </w:tc>
        <w:tc>
          <w:tcPr>
            <w:tcW w:type="dxa" w:w="17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6000000">
            <w:pPr>
              <w:spacing w:after="0"/>
              <w:ind w:firstLine="0" w:left="135"/>
            </w:pP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8000000">
            <w:pPr>
              <w:spacing w:after="0"/>
              <w:ind w:firstLine="0" w:left="135"/>
            </w:pPr>
          </w:p>
        </w:tc>
        <w:tc>
          <w:tcPr>
            <w:tcW w:type="dxa" w:w="27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Простейшие геометрические фигуры и их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</w:p>
        </w:tc>
        <w:tc>
          <w:tcPr>
            <w:tcW w:type="dxa" w:w="1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type="dxa" w:w="17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"https://m.edsoo.ru/7f415e2e"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</w:p>
        </w:tc>
        <w:tc>
          <w:tcPr>
            <w:tcW w:type="dxa" w:w="1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type="dxa" w:w="17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"https://m.edsoo.ru/7f415e2e"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прямые, сумма углов треугольника</w:t>
            </w:r>
          </w:p>
        </w:tc>
        <w:tc>
          <w:tcPr>
            <w:tcW w:type="dxa" w:w="1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type="dxa" w:w="17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"https://m.edsoo.ru/7f415e2e"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круг. Геометрические построения</w:t>
            </w:r>
          </w:p>
        </w:tc>
        <w:tc>
          <w:tcPr>
            <w:tcW w:type="dxa" w:w="1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type="dxa" w:w="17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"https://m.edsoo.ru/7f415e2e"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2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type="dxa" w:w="1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7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"https://m.edsoo.ru/7f415e2e"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type="dxa" w:w="17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8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7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00000"/>
        </w:tc>
      </w:tr>
    </w:tbl>
    <w:p w14:paraId="DC000000">
      <w:pPr>
        <w:pStyle w:val="Style_4"/>
        <w:spacing w:before="251"/>
        <w:ind w:firstLine="850" w:left="-283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«ГЕОМЕТРИЯ» (ПО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ОБУЧЕНИЯ)</w:t>
      </w:r>
    </w:p>
    <w:p w14:paraId="DD000000">
      <w:pPr>
        <w:pStyle w:val="Style_1"/>
        <w:widowControl w:val="0"/>
        <w:tabs>
          <w:tab w:leader="none" w:pos="894" w:val="left"/>
        </w:tabs>
        <w:spacing w:after="0" w:before="150" w:line="240" w:lineRule="auto"/>
        <w:ind w:firstLine="0" w:left="893"/>
      </w:pPr>
      <w:r>
        <w:t xml:space="preserve">Тематическое планирование и </w:t>
      </w:r>
      <w:r>
        <w:t>количестве</w:t>
      </w:r>
      <w:r>
        <w:t xml:space="preserve"> часов, отводимых на освоение каждой темы учебного курса</w:t>
      </w:r>
    </w:p>
    <w:p w14:paraId="DE000000">
      <w:pPr>
        <w:pStyle w:val="Style_1"/>
        <w:widowControl w:val="0"/>
        <w:tabs>
          <w:tab w:leader="none" w:pos="894" w:val="left"/>
        </w:tabs>
        <w:spacing w:after="0" w:before="150" w:line="240" w:lineRule="auto"/>
        <w:ind w:firstLine="0" w:left="893"/>
        <w:contextualSpacing w:val="0"/>
      </w:pPr>
      <w:r>
        <w:t>«Геометрия»  адаптированной основной образовательной программы основного общего образования обучающихся с задержкой психического развития, в целом совпадают с соответствующим разделом  рабочей программы учебного курса «геометрия» образовательной программы основного общего образования.</w:t>
      </w:r>
    </w:p>
    <w:p w14:paraId="DF000000">
      <w:pPr>
        <w:pStyle w:val="Style_1"/>
        <w:widowControl w:val="0"/>
        <w:numPr>
          <w:ilvl w:val="0"/>
          <w:numId w:val="2"/>
        </w:numPr>
        <w:tabs>
          <w:tab w:leader="none" w:pos="894" w:val="left"/>
        </w:tabs>
        <w:spacing w:after="0" w:before="150" w:line="240" w:lineRule="auto"/>
        <w:ind w:hanging="213" w:left="213"/>
        <w:contextualSpacing w:val="0"/>
      </w:pPr>
      <w:r>
        <w:rPr>
          <w:b w:val="1"/>
        </w:rPr>
        <w:t>класс</w:t>
      </w:r>
      <w:r>
        <w:rPr>
          <w:b w:val="1"/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68 ч)</w:t>
      </w:r>
    </w:p>
    <w:p w14:paraId="E0000000">
      <w:pPr>
        <w:pStyle w:val="Style_1"/>
        <w:widowControl w:val="0"/>
        <w:tabs>
          <w:tab w:leader="none" w:pos="894" w:val="left"/>
        </w:tabs>
        <w:spacing w:after="0" w:before="150" w:line="240" w:lineRule="auto"/>
        <w:ind w:firstLine="0" w:left="-567"/>
        <w:contextualSpacing w:val="0"/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77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pStyle w:val="Style_6"/>
              <w:spacing w:before="83"/>
              <w:ind w:firstLine="295" w:left="249" w:right="23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(темы)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pPr>
              <w:pStyle w:val="Style_6"/>
              <w:spacing w:before="219"/>
              <w:ind w:firstLine="0" w:left="193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pStyle w:val="Style_6"/>
              <w:spacing w:before="219"/>
              <w:ind w:firstLine="0" w:left="65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</w:tbl>
    <w:p w14:paraId="E4000000">
      <w:pPr>
        <w:pStyle w:val="Style_1"/>
        <w:widowControl w:val="0"/>
        <w:tabs>
          <w:tab w:leader="none" w:pos="894" w:val="left"/>
        </w:tabs>
        <w:spacing w:after="0" w:before="150" w:line="240" w:lineRule="auto"/>
        <w:ind w:firstLine="0" w:left="0"/>
        <w:contextualSpacing w:val="0"/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77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pStyle w:val="Style_6"/>
              <w:spacing w:before="83"/>
              <w:ind w:hanging="351" w:left="717" w:right="35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курса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(число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pStyle w:val="Style_6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800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Простейшие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9000000">
            <w:pPr>
              <w:pStyle w:val="Style_6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геометрические объекты: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лучи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A00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B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геометрические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C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многоугольник,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ломаная</w:t>
            </w:r>
            <w:r>
              <w:rPr>
                <w:sz w:val="24"/>
              </w:rPr>
              <w:t>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D000000">
            <w:pPr>
              <w:pStyle w:val="Style_6"/>
              <w:tabs>
                <w:tab w:leader="none" w:pos="1895" w:val="left"/>
                <w:tab w:leader="none" w:pos="3350" w:val="left"/>
                <w:tab w:leader="none" w:pos="5329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изученные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геометрические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фигуры,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E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фигуры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F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0000000">
            <w:pPr>
              <w:pStyle w:val="Style_6"/>
              <w:tabs>
                <w:tab w:leader="none" w:pos="1527" w:val="left"/>
                <w:tab w:leader="none" w:pos="2014" w:val="left"/>
                <w:tab w:leader="none" w:pos="3199" w:val="left"/>
                <w:tab w:leader="none" w:pos="4955" w:val="left"/>
              </w:tabs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определять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взаимное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расположение,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выполнять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1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их свойства.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2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простейшими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чертежами.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3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чертёж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4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Измерение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5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6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опоры: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7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геометрических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8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отрезков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9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действий).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A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величин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B000000">
            <w:pPr>
              <w:pStyle w:val="Style_6"/>
              <w:tabs>
                <w:tab w:leader="none" w:pos="1419" w:val="left"/>
                <w:tab w:leader="none" w:pos="1901" w:val="left"/>
                <w:tab w:leader="none" w:pos="3146" w:val="left"/>
                <w:tab w:leader="none" w:pos="4180" w:val="left"/>
                <w:tab w:leader="none" w:pos="5955" w:val="left"/>
              </w:tabs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площадь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C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D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(14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E00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прямоугольников.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F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линейки.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0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1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2010000">
            <w:pPr>
              <w:pStyle w:val="Style_6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Измерять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3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4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5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6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7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8010000">
            <w:pPr>
              <w:pStyle w:val="Style_6"/>
              <w:tabs>
                <w:tab w:leader="none" w:pos="1583" w:val="left"/>
                <w:tab w:leader="none" w:pos="2151" w:val="left"/>
                <w:tab w:leader="none" w:pos="2911" w:val="left"/>
                <w:tab w:leader="none" w:pos="3993" w:val="left"/>
                <w:tab w:leader="none" w:pos="5189" w:val="left"/>
              </w:tabs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Определять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«на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глаз»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размеры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объектов,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9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A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B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грубую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размеров.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C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D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E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F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0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углов.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2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4010000">
            <w:pPr>
              <w:pStyle w:val="Style_6"/>
              <w:spacing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6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фигур.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8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9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A010000">
            <w:pPr>
              <w:pStyle w:val="Style_6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Проводить </w:t>
            </w:r>
            <w:r>
              <w:rPr>
                <w:sz w:val="24"/>
              </w:rPr>
              <w:t>классификацию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z w:val="24"/>
              </w:rPr>
              <w:t xml:space="preserve"> и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B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C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D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угловые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5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несложные</w:t>
            </w:r>
            <w:r>
              <w:rPr>
                <w:b w:val="1"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E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F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0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доказательные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</w:tc>
      </w:tr>
      <w:tr>
        <w:trPr>
          <w:trHeight w:hRule="atLeast" w:val="415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pStyle w:val="Style_6"/>
              <w:spacing w:line="276" w:lineRule="exact"/>
              <w:ind/>
              <w:rPr>
                <w:b w:val="1"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геометрии.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2401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Треугольники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25010000">
            <w:pPr>
              <w:pStyle w:val="Style_6"/>
              <w:tabs>
                <w:tab w:leader="none" w:pos="1258" w:val="left"/>
                <w:tab w:leader="none" w:pos="1707" w:val="left"/>
                <w:tab w:leader="none" w:pos="2782" w:val="left"/>
                <w:tab w:leader="none" w:pos="4609" w:val="left"/>
                <w:tab w:leader="none" w:pos="5064" w:val="left"/>
              </w:tabs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первичные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2601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7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(22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8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(конгруэнтных)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фигурах.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9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чертежах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признаков)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A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B01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C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визуальной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D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E010000">
            <w:pPr>
              <w:pStyle w:val="Style_6"/>
              <w:tabs>
                <w:tab w:leader="none" w:pos="1368" w:val="left"/>
                <w:tab w:leader="none" w:pos="2687" w:val="left"/>
                <w:tab w:leader="none" w:pos="4611" w:val="left"/>
              </w:tabs>
              <w:spacing w:line="259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равенства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прямоугольных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F010000">
            <w:pPr>
              <w:pStyle w:val="Style_6"/>
              <w:tabs>
                <w:tab w:leader="none" w:pos="1554" w:val="left"/>
                <w:tab w:leader="none" w:pos="2967" w:val="left"/>
                <w:tab w:leader="none" w:pos="4341" w:val="left"/>
              </w:tabs>
              <w:spacing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Выводить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следствия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(равенств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соответствующих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0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101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2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элементов)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z w:val="24"/>
              </w:rPr>
              <w:t>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z w:val="24"/>
              </w:rPr>
              <w:t>еугольников.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3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4010000">
            <w:pPr>
              <w:pStyle w:val="Style_6"/>
              <w:spacing w:line="258" w:lineRule="exact"/>
              <w:ind w:firstLine="0" w:left="57"/>
              <w:rPr>
                <w:sz w:val="24"/>
              </w:rPr>
            </w:pPr>
            <w:r>
              <w:rPr>
                <w:spacing w:val="-1"/>
                <w:sz w:val="24"/>
              </w:rPr>
              <w:t>Равнобедренные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равносторонние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5010000">
            <w:pPr>
              <w:pStyle w:val="Style_6"/>
              <w:tabs>
                <w:tab w:leader="none" w:pos="2483" w:val="left"/>
                <w:tab w:leader="none" w:pos="4512" w:val="left"/>
              </w:tabs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определения: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остроугольного,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6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701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8010000">
            <w:pPr>
              <w:pStyle w:val="Style_6"/>
              <w:tabs>
                <w:tab w:leader="none" w:pos="2124" w:val="left"/>
                <w:tab w:leader="none" w:pos="4352" w:val="left"/>
              </w:tabs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тупоугольного,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прямоугольного,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равнобедренного,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9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A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больший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B010000">
            <w:pPr>
              <w:pStyle w:val="Style_6"/>
              <w:tabs>
                <w:tab w:leader="none" w:pos="1999" w:val="left"/>
                <w:tab w:leader="none" w:pos="3776" w:val="left"/>
                <w:tab w:leader="none" w:pos="5345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равностороннего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биссектрисы,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высоты,</w:t>
            </w:r>
          </w:p>
        </w:tc>
      </w:tr>
      <w:tr>
        <w:trPr>
          <w:trHeight w:hRule="atLeast" w:val="415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pStyle w:val="Style_6"/>
              <w:spacing w:line="271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угол.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pStyle w:val="Style_6"/>
              <w:tabs>
                <w:tab w:leader="none" w:pos="1234" w:val="left"/>
                <w:tab w:leader="none" w:pos="2954" w:val="left"/>
                <w:tab w:leader="none" w:pos="4513" w:val="left"/>
              </w:tabs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медианы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серединного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перпендикуляра</w:t>
            </w:r>
          </w:p>
        </w:tc>
      </w:tr>
    </w:tbl>
    <w:p w14:paraId="3F010000">
      <w:pPr>
        <w:pStyle w:val="Style_7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381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pStyle w:val="Style_6"/>
              <w:tabs>
                <w:tab w:leader="none" w:pos="1587" w:val="left"/>
                <w:tab w:leader="none" w:pos="3079" w:val="left"/>
                <w:tab w:leader="none" w:pos="3443" w:val="left"/>
                <w:tab w:leader="none" w:pos="4826" w:val="left"/>
              </w:tabs>
              <w:spacing w:before="78"/>
              <w:ind w:firstLine="0" w:left="57" w:right="49"/>
              <w:rPr>
                <w:i w:val="1"/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неравенства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геометрии.</w:t>
            </w:r>
            <w:r>
              <w:rPr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Неравенство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треугольника.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 xml:space="preserve">Неравенство </w:t>
            </w:r>
            <w:r>
              <w:rPr>
                <w:i w:val="1"/>
                <w:sz w:val="24"/>
              </w:rPr>
              <w:t>ломаной</w:t>
            </w:r>
            <w:r>
              <w:rPr>
                <w:i w:val="1"/>
                <w:sz w:val="24"/>
              </w:rPr>
              <w:t>.</w:t>
            </w:r>
          </w:p>
          <w:p w14:paraId="42010000">
            <w:pPr>
              <w:pStyle w:val="Style_6"/>
              <w:ind w:firstLine="0" w:left="57" w:right="1233"/>
              <w:rPr>
                <w:sz w:val="24"/>
              </w:rPr>
            </w:pPr>
            <w:r>
              <w:rPr>
                <w:sz w:val="24"/>
              </w:rPr>
              <w:t>Прямоугольный треугольник с углом в 30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доказательствах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pStyle w:val="Style_6"/>
              <w:spacing w:before="78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отрезка;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14:paraId="44010000">
            <w:pPr>
              <w:pStyle w:val="Style_6"/>
              <w:spacing w:before="10" w:line="240" w:lineRule="auto"/>
              <w:ind w:right="50"/>
              <w:jc w:val="both"/>
              <w:rPr>
                <w:i w:val="1"/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i w:val="1"/>
                <w:sz w:val="24"/>
              </w:rPr>
              <w:t>.</w:t>
            </w:r>
          </w:p>
          <w:p w14:paraId="45010000">
            <w:pPr>
              <w:pStyle w:val="Style_6"/>
              <w:spacing w:before="11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 xml:space="preserve">чертежи, </w:t>
            </w:r>
            <w:r>
              <w:rPr>
                <w:b w:val="1"/>
                <w:sz w:val="24"/>
              </w:rPr>
              <w:t xml:space="preserve">решать задачи </w:t>
            </w:r>
            <w:r>
              <w:rPr>
                <w:sz w:val="24"/>
              </w:rPr>
              <w:t>с помощью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равных треугольников.</w:t>
            </w:r>
          </w:p>
          <w:p w14:paraId="46010000">
            <w:pPr>
              <w:pStyle w:val="Style_6"/>
              <w:spacing w:before="6"/>
              <w:ind w:right="5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14:paraId="47010000">
            <w:pPr>
              <w:pStyle w:val="Style_6"/>
              <w:tabs>
                <w:tab w:leader="none" w:pos="1791" w:val="left"/>
                <w:tab w:leader="none" w:pos="3032" w:val="left"/>
                <w:tab w:leader="none" w:pos="4086" w:val="left"/>
                <w:tab w:leader="none" w:pos="4684" w:val="left"/>
              </w:tabs>
              <w:spacing w:before="1" w:line="274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цифровые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ресурсы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для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исследования</w:t>
            </w:r>
          </w:p>
          <w:p w14:paraId="48010000">
            <w:pPr>
              <w:pStyle w:val="Style_6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14:paraId="49010000">
            <w:pPr>
              <w:pStyle w:val="Style_6"/>
              <w:spacing w:before="5"/>
              <w:ind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3808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pStyle w:val="Style_6"/>
              <w:spacing w:before="80"/>
              <w:ind w:right="39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Параллельные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прямые, сумма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углов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треугольника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pStyle w:val="Style_6"/>
              <w:spacing w:before="75"/>
              <w:ind w:firstLine="0"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Накрест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соответственные и односторонние углы (образованные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секущей).</w:t>
            </w:r>
          </w:p>
          <w:p w14:paraId="4C010000">
            <w:pPr>
              <w:pStyle w:val="Style_6"/>
              <w:spacing w:before="1"/>
              <w:ind w:firstLine="0" w:left="57" w:right="51"/>
              <w:jc w:val="both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14:paraId="4D010000">
            <w:pPr>
              <w:pStyle w:val="Style_6"/>
              <w:ind w:firstLine="0" w:left="57" w:right="1436"/>
              <w:jc w:val="both"/>
              <w:rPr>
                <w:sz w:val="24"/>
              </w:rPr>
            </w:pPr>
            <w:r>
              <w:rPr>
                <w:sz w:val="24"/>
              </w:rPr>
              <w:t>Сумма углов треугольника и многоугольника.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Внешние углы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pStyle w:val="Style_6"/>
              <w:spacing w:before="80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Формулировать    </w:t>
            </w:r>
            <w:r>
              <w:rPr>
                <w:b w:val="1"/>
                <w:spacing w:val="2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понятие     </w:t>
            </w:r>
            <w:r>
              <w:rPr>
                <w:b w:val="1"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z w:val="24"/>
              </w:rPr>
              <w:t xml:space="preserve">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</w:p>
          <w:p w14:paraId="4F010000">
            <w:pPr>
              <w:pStyle w:val="Style_6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14:paraId="50010000">
            <w:pPr>
              <w:pStyle w:val="Style_6"/>
              <w:spacing w:before="5" w:line="240" w:lineRule="auto"/>
              <w:ind w:right="5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Изучать </w:t>
            </w:r>
            <w:r>
              <w:rPr>
                <w:sz w:val="24"/>
              </w:rPr>
              <w:t>свойства углов, образованных при пересечении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</w:p>
          <w:p w14:paraId="51010000">
            <w:pPr>
              <w:pStyle w:val="Style_6"/>
              <w:spacing w:before="9" w:line="240" w:lineRule="auto"/>
              <w:ind w:right="5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доказательства.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теорему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14:paraId="52010000">
            <w:pPr>
              <w:pStyle w:val="Style_6"/>
              <w:tabs>
                <w:tab w:leader="none" w:pos="1316" w:val="left"/>
                <w:tab w:leader="none" w:pos="2499" w:val="left"/>
                <w:tab w:leader="none" w:pos="2837" w:val="left"/>
                <w:tab w:leader="none" w:pos="4146" w:val="left"/>
                <w:tab w:leader="none" w:pos="5282" w:val="left"/>
                <w:tab w:leader="none" w:pos="6057" w:val="left"/>
              </w:tabs>
              <w:spacing w:before="11" w:line="240" w:lineRule="auto"/>
              <w:ind w:right="56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Вычислять </w:t>
            </w:r>
            <w:r>
              <w:rPr>
                <w:sz w:val="24"/>
              </w:rPr>
              <w:t>сумму углов треугольника и многоугольника.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числовые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буквенные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углов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</w:p>
          <w:p w14:paraId="53010000">
            <w:pPr>
              <w:pStyle w:val="Style_6"/>
              <w:spacing w:before="9"/>
              <w:ind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160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pStyle w:val="Style_6"/>
              <w:spacing w:before="81"/>
              <w:ind w:right="68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Окружность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 круг.</w:t>
            </w:r>
          </w:p>
          <w:p w14:paraId="55010000">
            <w:pPr>
              <w:pStyle w:val="Style_6"/>
              <w:ind w:right="27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Геометрические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построения</w:t>
            </w:r>
          </w:p>
          <w:p w14:paraId="5601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pStyle w:val="Style_6"/>
              <w:spacing w:before="76"/>
              <w:ind w:firstLine="0" w:left="57" w:right="47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диаметры,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Касательная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Понятие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ГМТ,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применение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задачах.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Биссектриса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серединный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перпендикуляр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как геометрические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места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точек.</w:t>
            </w:r>
          </w:p>
          <w:p w14:paraId="58010000">
            <w:pPr>
              <w:pStyle w:val="Style_6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описанная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pStyle w:val="Style_6"/>
              <w:spacing w:before="81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определения</w:t>
            </w:r>
            <w:r>
              <w:rPr>
                <w:i w:val="1"/>
                <w:sz w:val="24"/>
              </w:rPr>
              <w:t>: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Изучать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>чертежи.</w:t>
            </w:r>
          </w:p>
          <w:p w14:paraId="5A010000">
            <w:pPr>
              <w:pStyle w:val="Style_6"/>
              <w:spacing w:before="4" w:line="240" w:lineRule="auto"/>
              <w:ind w:right="5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Исследовать, </w:t>
            </w:r>
            <w:r>
              <w:rPr>
                <w:sz w:val="24"/>
              </w:rPr>
              <w:t xml:space="preserve">в том числе </w:t>
            </w:r>
            <w:r>
              <w:rPr>
                <w:b w:val="1"/>
                <w:sz w:val="24"/>
              </w:rPr>
              <w:t>используя цифровые ресурсы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вписанную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угол;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</w:p>
        </w:tc>
      </w:tr>
    </w:tbl>
    <w:p w14:paraId="5B010000">
      <w:pPr>
        <w:pStyle w:val="Style_7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354"/>
        </w:trPr>
        <w:tc>
          <w:tcPr>
            <w:tcW w:type="dxa" w:w="212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D010000">
            <w:pPr>
              <w:pStyle w:val="Style_6"/>
              <w:spacing w:before="78"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окружность.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E010000">
            <w:pPr>
              <w:pStyle w:val="Style_6"/>
              <w:spacing w:before="78" w:line="256" w:lineRule="exact"/>
              <w:ind/>
              <w:rPr>
                <w:sz w:val="24"/>
              </w:rPr>
            </w:pPr>
            <w:r>
              <w:rPr>
                <w:sz w:val="24"/>
              </w:rPr>
              <w:t>вписанной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касательных</w:t>
            </w:r>
          </w:p>
        </w:tc>
      </w:tr>
      <w:tr>
        <w:trPr>
          <w:trHeight w:hRule="atLeast" w:val="267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F010000">
            <w:pPr>
              <w:pStyle w:val="Style_6"/>
              <w:spacing w:line="247" w:lineRule="exact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Простейшие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задачи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построение.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0010000">
            <w:pPr>
              <w:pStyle w:val="Style_6"/>
              <w:spacing w:line="247" w:lineRule="exact"/>
              <w:ind/>
              <w:rPr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Использовать</w:t>
            </w:r>
            <w:r>
              <w:rPr>
                <w:b w:val="1"/>
                <w:i w:val="1"/>
                <w:spacing w:val="2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метод</w:t>
            </w:r>
            <w:r>
              <w:rPr>
                <w:b w:val="1"/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ГМТ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для</w:t>
            </w:r>
            <w:r>
              <w:rPr>
                <w:i w:val="1"/>
                <w:spacing w:val="2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доказательства</w:t>
            </w:r>
            <w:r>
              <w:rPr>
                <w:i w:val="1"/>
                <w:spacing w:val="2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теорем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</w:t>
            </w:r>
          </w:p>
        </w:tc>
      </w:tr>
      <w:tr>
        <w:trPr>
          <w:trHeight w:hRule="atLeast" w:val="264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1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2010000">
            <w:pPr>
              <w:pStyle w:val="Style_6"/>
              <w:spacing w:line="245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пересечении</w:t>
            </w:r>
            <w:r>
              <w:rPr>
                <w:i w:val="1"/>
                <w:spacing w:val="2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биссектрис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углов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треугольника</w:t>
            </w:r>
            <w:r>
              <w:rPr>
                <w:i w:val="1"/>
                <w:spacing w:val="2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серединных</w:t>
            </w:r>
          </w:p>
        </w:tc>
      </w:tr>
      <w:tr>
        <w:trPr>
          <w:trHeight w:hRule="atLeast" w:val="266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3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4010000">
            <w:pPr>
              <w:pStyle w:val="Style_6"/>
              <w:spacing w:line="246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перпендикуляров</w:t>
            </w:r>
            <w:r>
              <w:rPr>
                <w:i w:val="1"/>
                <w:spacing w:val="3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</w:t>
            </w:r>
            <w:r>
              <w:rPr>
                <w:i w:val="1"/>
                <w:spacing w:val="9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сторонам</w:t>
            </w:r>
            <w:r>
              <w:rPr>
                <w:i w:val="1"/>
                <w:spacing w:val="9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треугольника</w:t>
            </w:r>
            <w:r>
              <w:rPr>
                <w:i w:val="1"/>
                <w:spacing w:val="9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9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помощью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5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6010000">
            <w:pPr>
              <w:pStyle w:val="Style_6"/>
              <w:spacing w:line="246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ГМТ.</w:t>
            </w:r>
          </w:p>
        </w:tc>
      </w:tr>
      <w:tr>
        <w:trPr>
          <w:trHeight w:hRule="atLeast" w:val="268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7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8010000">
            <w:pPr>
              <w:pStyle w:val="Style_6"/>
              <w:tabs>
                <w:tab w:leader="none" w:pos="1673" w:val="left"/>
                <w:tab w:leader="none" w:pos="3215" w:val="left"/>
                <w:tab w:leader="none" w:pos="4629" w:val="left"/>
                <w:tab w:leader="none" w:pos="5083" w:val="left"/>
              </w:tabs>
              <w:spacing w:line="24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Овладевать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понятиями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вписанной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описанной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9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A010000">
            <w:pPr>
              <w:pStyle w:val="Style_6"/>
              <w:tabs>
                <w:tab w:leader="none" w:pos="1675" w:val="left"/>
                <w:tab w:leader="none" w:pos="3402" w:val="left"/>
                <w:tab w:leader="none" w:pos="4689" w:val="left"/>
                <w:tab w:leader="none" w:pos="5723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окружностей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треугольника,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центры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этих</w:t>
            </w:r>
          </w:p>
        </w:tc>
      </w:tr>
      <w:tr>
        <w:trPr>
          <w:trHeight w:hRule="atLeast" w:val="263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B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C010000">
            <w:pPr>
              <w:pStyle w:val="Style_6"/>
              <w:spacing w:line="244" w:lineRule="exact"/>
              <w:ind/>
              <w:rPr>
                <w:sz w:val="24"/>
              </w:rPr>
            </w:pPr>
            <w:r>
              <w:rPr>
                <w:sz w:val="24"/>
              </w:rPr>
              <w:t>окружностей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</w:tr>
      <w:tr>
        <w:trPr>
          <w:trHeight w:hRule="atLeast" w:val="268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D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E010000">
            <w:pPr>
              <w:pStyle w:val="Style_6"/>
              <w:spacing w:line="24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построение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равного</w:t>
            </w:r>
          </w:p>
        </w:tc>
      </w:tr>
      <w:tr>
        <w:trPr>
          <w:trHeight w:hRule="atLeast" w:val="263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F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0010000">
            <w:pPr>
              <w:pStyle w:val="Style_6"/>
              <w:spacing w:line="244" w:lineRule="exact"/>
              <w:ind/>
              <w:rPr>
                <w:sz w:val="24"/>
              </w:rPr>
            </w:pPr>
            <w:r>
              <w:rPr>
                <w:sz w:val="24"/>
              </w:rPr>
              <w:t>данному</w:t>
            </w:r>
            <w:r>
              <w:rPr>
                <w:sz w:val="24"/>
              </w:rPr>
              <w:t>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серединного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перпендикуляра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отрезка;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1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2010000">
            <w:pPr>
              <w:pStyle w:val="Style_6"/>
              <w:tabs>
                <w:tab w:leader="none" w:pos="1272" w:val="left"/>
                <w:tab w:leader="none" w:pos="2934" w:val="left"/>
                <w:tab w:leader="none" w:pos="3882" w:val="left"/>
                <w:tab w:leader="none" w:pos="5064" w:val="left"/>
                <w:tab w:leader="none" w:pos="6043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проходящей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данную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3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4010000">
            <w:pPr>
              <w:pStyle w:val="Style_6"/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перпендикулярной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биссектрисы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</w:p>
        </w:tc>
      </w:tr>
      <w:tr>
        <w:trPr>
          <w:trHeight w:hRule="atLeast" w:val="266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5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6010000">
            <w:pPr>
              <w:pStyle w:val="Style_6"/>
              <w:tabs>
                <w:tab w:leader="none" w:pos="817" w:val="left"/>
                <w:tab w:leader="none" w:pos="2577" w:val="left"/>
                <w:tab w:leader="none" w:pos="3080" w:val="left"/>
                <w:tab w:leader="none" w:pos="4464" w:val="left"/>
                <w:tab w:leader="none" w:pos="5797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угла;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элементам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7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8010000">
            <w:pPr>
              <w:pStyle w:val="Style_6"/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  <w:tr>
        <w:trPr>
          <w:trHeight w:hRule="atLeast" w:val="410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pStyle w:val="Style_6"/>
              <w:spacing w:line="271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B01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Повторение,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C010000">
            <w:pPr>
              <w:pStyle w:val="Style_6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D01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E010000">
            <w:pPr>
              <w:pStyle w:val="Style_6"/>
              <w:spacing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обобщение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F010000">
            <w:pPr>
              <w:pStyle w:val="Style_6"/>
              <w:spacing w:line="259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0010000">
            <w:pPr>
              <w:pStyle w:val="Style_6"/>
              <w:spacing w:line="259" w:lineRule="exact"/>
              <w:ind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1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знаний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2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3010000">
            <w:pPr>
              <w:pStyle w:val="Style_6"/>
              <w:ind w:firstLine="0" w:left="0"/>
              <w:rPr>
                <w:sz w:val="20"/>
              </w:rPr>
            </w:pPr>
          </w:p>
        </w:tc>
      </w:tr>
      <w:tr>
        <w:trPr>
          <w:trHeight w:hRule="atLeast" w:val="410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pStyle w:val="Style_6"/>
              <w:spacing w:line="271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pStyle w:val="Style_6"/>
              <w:ind w:firstLine="0" w:left="0"/>
              <w:rPr>
                <w:sz w:val="24"/>
              </w:rPr>
            </w:pPr>
          </w:p>
        </w:tc>
      </w:tr>
    </w:tbl>
    <w:p w14:paraId="87010000">
      <w:pPr>
        <w:pStyle w:val="Style_7"/>
        <w:ind w:firstLine="0" w:left="0"/>
        <w:jc w:val="left"/>
        <w:rPr>
          <w:sz w:val="20"/>
        </w:rPr>
      </w:pPr>
    </w:p>
    <w:p w14:paraId="88010000">
      <w:pPr>
        <w:pStyle w:val="Style_1"/>
        <w:widowControl w:val="0"/>
        <w:tabs>
          <w:tab w:leader="none" w:pos="894" w:val="left"/>
        </w:tabs>
        <w:spacing w:after="0" w:before="150" w:line="240" w:lineRule="auto"/>
        <w:ind w:firstLine="0" w:left="893"/>
        <w:contextualSpacing w:val="0"/>
      </w:pPr>
    </w:p>
    <w:p w14:paraId="89010000">
      <w:pPr>
        <w:pStyle w:val="Style_1"/>
        <w:widowControl w:val="0"/>
        <w:tabs>
          <w:tab w:leader="none" w:pos="894" w:val="left"/>
        </w:tabs>
        <w:spacing w:after="0" w:before="150" w:line="240" w:lineRule="auto"/>
        <w:ind w:firstLine="0" w:left="893"/>
        <w:contextualSpacing w:val="0"/>
      </w:pPr>
    </w:p>
    <w:p w14:paraId="8A010000">
      <w:pPr>
        <w:pStyle w:val="Style_1"/>
        <w:widowControl w:val="0"/>
        <w:tabs>
          <w:tab w:leader="none" w:pos="894" w:val="left"/>
        </w:tabs>
        <w:spacing w:after="0" w:before="150" w:line="240" w:lineRule="auto"/>
        <w:ind w:firstLine="0" w:left="893"/>
        <w:contextualSpacing w:val="0"/>
      </w:pPr>
    </w:p>
    <w:p w14:paraId="8B010000">
      <w:pPr>
        <w:pStyle w:val="Style_1"/>
        <w:widowControl w:val="0"/>
        <w:tabs>
          <w:tab w:leader="none" w:pos="894" w:val="left"/>
        </w:tabs>
        <w:spacing w:after="0" w:before="150" w:line="240" w:lineRule="auto"/>
        <w:ind w:firstLine="0" w:left="893"/>
        <w:contextualSpacing w:val="0"/>
      </w:pPr>
    </w:p>
    <w:p w14:paraId="8C010000">
      <w:pPr>
        <w:pStyle w:val="Style_1"/>
        <w:widowControl w:val="0"/>
        <w:tabs>
          <w:tab w:leader="none" w:pos="894" w:val="left"/>
        </w:tabs>
        <w:spacing w:after="0" w:before="150" w:line="240" w:lineRule="auto"/>
        <w:ind w:firstLine="0" w:left="893"/>
        <w:contextualSpacing w:val="0"/>
      </w:pPr>
    </w:p>
    <w:p w14:paraId="8D010000">
      <w:pPr>
        <w:pStyle w:val="Style_7"/>
        <w:ind w:firstLine="0" w:left="0"/>
        <w:jc w:val="left"/>
        <w:rPr>
          <w:sz w:val="20"/>
        </w:rPr>
      </w:pPr>
    </w:p>
    <w:p w14:paraId="8E010000">
      <w:pPr>
        <w:sectPr>
          <w:pgSz w:h="11906" w:orient="landscape" w:w="16383"/>
          <w:pgMar w:bottom="1134" w:footer="720" w:gutter="0" w:header="720" w:left="709" w:right="850" w:top="1134"/>
        </w:sectPr>
      </w:pPr>
    </w:p>
    <w:p w14:paraId="8F010000">
      <w:pPr>
        <w:spacing w:after="0"/>
        <w:ind w:firstLine="0" w:left="120"/>
      </w:pPr>
      <w:bookmarkStart w:id="5" w:name="block-2295091"/>
      <w:bookmarkStart w:id="6" w:name="block-2295090"/>
      <w:bookmarkEnd w:id="6"/>
      <w:r>
        <w:rPr>
          <w:rFonts w:ascii="Times New Roman" w:hAnsi="Times New Roman"/>
          <w:b w:val="1"/>
          <w:color w:val="000000"/>
          <w:sz w:val="28"/>
        </w:rPr>
        <w:t>УЧЕБНО-МЕТОДИЧЕСКОЕ ОБЕСПЕЧЕНИЕ ОБРАЗОВАТЕЛЬНОГО ПРОЦЕССА</w:t>
      </w:r>
    </w:p>
    <w:p w14:paraId="9001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ОБЯЗАТЕЛЬНЫЕ УЧЕБНЫЕ МАТЕРИАЛЫ ДЛЯ УЧЕНИКА</w:t>
      </w:r>
    </w:p>
    <w:p w14:paraId="9101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7" w:name="acdc3876-571e-4ea9-a1d0-6bf3dde3985b"/>
      <w:r>
        <w:rPr>
          <w:rFonts w:ascii="Times New Roman" w:hAnsi="Times New Roman"/>
          <w:color w:val="000000"/>
          <w:sz w:val="28"/>
        </w:rPr>
        <w:t>• Математика. Геометрия: 7-9-е классы: базовый уровень: учебник, 7-9 классы/ Атанасян Л.С., Бутузов В.Ф., Кадомцев С.Б. и другие, Акционерное общество «Издательство «Просвещение»</w:t>
      </w:r>
      <w:bookmarkEnd w:id="7"/>
      <w:r>
        <w:rPr>
          <w:rFonts w:ascii="Times New Roman" w:hAnsi="Times New Roman"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92010000">
      <w:pPr>
        <w:spacing w:after="0"/>
        <w:ind w:firstLine="0" w:left="120"/>
      </w:pPr>
    </w:p>
    <w:p w14:paraId="93010000">
      <w:pPr>
        <w:pStyle w:val="Style_8"/>
        <w:ind w:firstLine="0" w:left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14:paraId="94010000">
      <w:pPr>
        <w:pStyle w:val="Style_1"/>
        <w:widowControl w:val="0"/>
        <w:numPr>
          <w:ilvl w:val="0"/>
          <w:numId w:val="3"/>
        </w:numPr>
        <w:tabs>
          <w:tab w:leader="none" w:pos="347" w:val="left"/>
        </w:tabs>
        <w:spacing w:after="0" w:before="60" w:line="240" w:lineRule="auto"/>
        <w:ind/>
        <w:contextualSpacing w:val="0"/>
        <w:rPr>
          <w:sz w:val="24"/>
        </w:rPr>
      </w:pPr>
      <w:r>
        <w:rPr>
          <w:sz w:val="24"/>
        </w:rPr>
        <w:t>«Школьный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помощник»:</w:t>
      </w:r>
      <w:r>
        <w:rPr>
          <w:spacing w:val="-8"/>
          <w:sz w:val="24"/>
        </w:rPr>
        <w:t xml:space="preserve"> </w:t>
      </w:r>
      <w:r>
        <w:rPr>
          <w:sz w:val="24"/>
        </w:rPr>
        <w:fldChar w:fldCharType="begin"/>
      </w:r>
      <w:r>
        <w:rPr>
          <w:sz w:val="24"/>
        </w:rPr>
        <w:instrText>HYPERLINK "http://school-assistant.ru/"</w:instrText>
      </w:r>
      <w:r>
        <w:rPr>
          <w:sz w:val="24"/>
        </w:rPr>
        <w:fldChar w:fldCharType="separate"/>
      </w:r>
      <w:r>
        <w:rPr>
          <w:sz w:val="24"/>
        </w:rPr>
        <w:t>http://school-assistant.ru/</w:t>
      </w:r>
      <w:r>
        <w:rPr>
          <w:sz w:val="24"/>
        </w:rPr>
        <w:fldChar w:fldCharType="end"/>
      </w:r>
    </w:p>
    <w:p w14:paraId="95010000">
      <w:pPr>
        <w:pStyle w:val="Style_1"/>
        <w:widowControl w:val="0"/>
        <w:numPr>
          <w:ilvl w:val="0"/>
          <w:numId w:val="3"/>
        </w:numPr>
        <w:tabs>
          <w:tab w:leader="none" w:pos="347" w:val="left"/>
        </w:tabs>
        <w:spacing w:after="0" w:before="60" w:line="240" w:lineRule="auto"/>
        <w:ind/>
        <w:contextualSpacing w:val="0"/>
        <w:rPr>
          <w:sz w:val="24"/>
        </w:rPr>
      </w:pPr>
      <w:r>
        <w:rPr>
          <w:sz w:val="24"/>
        </w:rPr>
        <w:t>«Школьная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математика»:</w:t>
      </w:r>
      <w:r>
        <w:rPr>
          <w:spacing w:val="-9"/>
          <w:sz w:val="24"/>
        </w:rPr>
        <w:t xml:space="preserve"> </w:t>
      </w:r>
      <w:r>
        <w:rPr>
          <w:sz w:val="24"/>
        </w:rPr>
        <w:fldChar w:fldCharType="begin"/>
      </w:r>
      <w:r>
        <w:rPr>
          <w:sz w:val="24"/>
        </w:rPr>
        <w:instrText>HYPERLINK "http://math-prosto.ru/index.php"</w:instrText>
      </w:r>
      <w:r>
        <w:rPr>
          <w:sz w:val="24"/>
        </w:rPr>
        <w:fldChar w:fldCharType="separate"/>
      </w:r>
      <w:r>
        <w:rPr>
          <w:sz w:val="24"/>
        </w:rPr>
        <w:t>http://math-prosto.ru/index.php</w:t>
      </w:r>
      <w:r>
        <w:rPr>
          <w:sz w:val="24"/>
        </w:rPr>
        <w:fldChar w:fldCharType="end"/>
      </w:r>
    </w:p>
    <w:p w14:paraId="96010000">
      <w:pPr>
        <w:pStyle w:val="Style_1"/>
        <w:widowControl w:val="0"/>
        <w:numPr>
          <w:ilvl w:val="0"/>
          <w:numId w:val="3"/>
        </w:numPr>
        <w:tabs>
          <w:tab w:leader="none" w:pos="347" w:val="left"/>
        </w:tabs>
        <w:spacing w:after="0" w:before="61" w:line="240" w:lineRule="auto"/>
        <w:ind/>
        <w:contextualSpacing w:val="0"/>
        <w:rPr>
          <w:sz w:val="24"/>
        </w:rPr>
      </w:pPr>
      <w:r>
        <w:rPr>
          <w:sz w:val="24"/>
        </w:rPr>
        <w:t>«</w:t>
      </w:r>
      <w:r>
        <w:rPr>
          <w:sz w:val="24"/>
        </w:rPr>
        <w:t>ЯКласс</w:t>
      </w:r>
      <w:r>
        <w:rPr>
          <w:sz w:val="24"/>
        </w:rPr>
        <w:t>»:</w:t>
      </w:r>
      <w:r>
        <w:rPr>
          <w:spacing w:val="-10"/>
          <w:sz w:val="24"/>
        </w:rPr>
        <w:t xml:space="preserve"> </w:t>
      </w:r>
      <w:r>
        <w:rPr>
          <w:sz w:val="24"/>
        </w:rPr>
        <w:fldChar w:fldCharType="begin"/>
      </w:r>
      <w:r>
        <w:rPr>
          <w:sz w:val="24"/>
        </w:rPr>
        <w:instrText>HYPERLINK "http://www.yaklass.ru/"</w:instrText>
      </w:r>
      <w:r>
        <w:rPr>
          <w:sz w:val="24"/>
        </w:rPr>
        <w:fldChar w:fldCharType="separate"/>
      </w:r>
      <w:r>
        <w:rPr>
          <w:sz w:val="24"/>
        </w:rPr>
        <w:t>http://www.yaklass.ru</w:t>
      </w:r>
      <w:r>
        <w:rPr>
          <w:sz w:val="24"/>
        </w:rPr>
        <w:fldChar w:fldCharType="end"/>
      </w:r>
    </w:p>
    <w:p w14:paraId="97010000">
      <w:pPr>
        <w:pStyle w:val="Style_1"/>
        <w:widowControl w:val="0"/>
        <w:numPr>
          <w:ilvl w:val="0"/>
          <w:numId w:val="3"/>
        </w:numPr>
        <w:tabs>
          <w:tab w:leader="none" w:pos="347" w:val="left"/>
        </w:tabs>
        <w:spacing w:after="0" w:before="60" w:line="240" w:lineRule="auto"/>
        <w:ind/>
        <w:contextualSpacing w:val="0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ресурсов:</w:t>
      </w:r>
      <w:r>
        <w:rPr>
          <w:spacing w:val="-8"/>
          <w:sz w:val="24"/>
        </w:rPr>
        <w:t xml:space="preserve"> </w:t>
      </w:r>
      <w:r>
        <w:rPr>
          <w:sz w:val="24"/>
        </w:rPr>
        <w:fldChar w:fldCharType="begin"/>
      </w:r>
      <w:r>
        <w:rPr>
          <w:sz w:val="24"/>
        </w:rPr>
        <w:instrText>HYPERLINK "http://eor.edu.ru/"</w:instrText>
      </w:r>
      <w:r>
        <w:rPr>
          <w:sz w:val="24"/>
        </w:rPr>
        <w:fldChar w:fldCharType="separate"/>
      </w:r>
      <w:r>
        <w:rPr>
          <w:sz w:val="24"/>
        </w:rPr>
        <w:t>http://eor.edu.ru/.</w:t>
      </w:r>
      <w:r>
        <w:rPr>
          <w:sz w:val="24"/>
        </w:rPr>
        <w:fldChar w:fldCharType="end"/>
      </w:r>
    </w:p>
    <w:p w14:paraId="98010000">
      <w:pPr>
        <w:pStyle w:val="Style_1"/>
        <w:widowControl w:val="0"/>
        <w:numPr>
          <w:ilvl w:val="0"/>
          <w:numId w:val="3"/>
        </w:numPr>
        <w:tabs>
          <w:tab w:leader="none" w:pos="347" w:val="left"/>
        </w:tabs>
        <w:spacing w:after="0" w:before="60" w:line="240" w:lineRule="auto"/>
        <w:ind/>
        <w:contextualSpacing w:val="0"/>
        <w:rPr>
          <w:sz w:val="24"/>
        </w:rPr>
      </w:pPr>
      <w:r>
        <w:rPr>
          <w:sz w:val="24"/>
        </w:rPr>
        <w:t>Единая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ресурсов:</w:t>
      </w:r>
      <w:r>
        <w:rPr>
          <w:spacing w:val="-8"/>
          <w:sz w:val="24"/>
        </w:rPr>
        <w:t xml:space="preserve"> </w:t>
      </w:r>
      <w:r>
        <w:rPr>
          <w:sz w:val="24"/>
        </w:rPr>
        <w:fldChar w:fldCharType="begin"/>
      </w:r>
      <w:r>
        <w:rPr>
          <w:sz w:val="24"/>
        </w:rPr>
        <w:instrText>HYPERLINK "http://school-ollection.edu.ru/"</w:instrText>
      </w:r>
      <w:r>
        <w:rPr>
          <w:sz w:val="24"/>
        </w:rPr>
        <w:fldChar w:fldCharType="separate"/>
      </w:r>
      <w:r>
        <w:rPr>
          <w:sz w:val="24"/>
        </w:rPr>
        <w:t>http://school-ollection.edu.ru/.</w:t>
      </w:r>
      <w:r>
        <w:rPr>
          <w:sz w:val="24"/>
        </w:rPr>
        <w:fldChar w:fldCharType="end"/>
      </w:r>
    </w:p>
    <w:p w14:paraId="99010000">
      <w:pPr>
        <w:pStyle w:val="Style_1"/>
        <w:widowControl w:val="0"/>
        <w:numPr>
          <w:ilvl w:val="0"/>
          <w:numId w:val="3"/>
        </w:numPr>
        <w:tabs>
          <w:tab w:leader="none" w:pos="347" w:val="left"/>
        </w:tabs>
        <w:spacing w:after="0" w:before="60" w:line="288" w:lineRule="auto"/>
        <w:ind w:firstLine="0" w:left="106" w:right="2245"/>
        <w:contextualSpacing w:val="0"/>
        <w:rPr>
          <w:sz w:val="24"/>
        </w:rPr>
      </w:pPr>
      <w:r>
        <w:rPr>
          <w:sz w:val="24"/>
        </w:rPr>
        <w:t>Информационная система "Единое окно доступа к образовательным ресурсам":</w:t>
      </w:r>
      <w:r>
        <w:rPr>
          <w:spacing w:val="-57"/>
          <w:sz w:val="24"/>
        </w:rPr>
        <w:t xml:space="preserve"> </w:t>
      </w:r>
      <w:r>
        <w:rPr>
          <w:sz w:val="24"/>
        </w:rPr>
        <w:fldChar w:fldCharType="begin"/>
      </w:r>
      <w:r>
        <w:rPr>
          <w:sz w:val="24"/>
        </w:rPr>
        <w:instrText>HYPERLINK "http://window.edu.ru/"</w:instrText>
      </w:r>
      <w:r>
        <w:rPr>
          <w:sz w:val="24"/>
        </w:rPr>
        <w:fldChar w:fldCharType="separate"/>
      </w:r>
      <w:r>
        <w:rPr>
          <w:sz w:val="24"/>
        </w:rPr>
        <w:t>http://window.edu.ru/.</w:t>
      </w:r>
      <w:r>
        <w:rPr>
          <w:sz w:val="24"/>
        </w:rPr>
        <w:fldChar w:fldCharType="end"/>
      </w:r>
    </w:p>
    <w:p w14:paraId="9A010000">
      <w:pPr>
        <w:pStyle w:val="Style_1"/>
        <w:widowControl w:val="0"/>
        <w:numPr>
          <w:ilvl w:val="0"/>
          <w:numId w:val="3"/>
        </w:numPr>
        <w:tabs>
          <w:tab w:leader="none" w:pos="347" w:val="left"/>
        </w:tabs>
        <w:spacing w:after="0" w:line="288" w:lineRule="auto"/>
        <w:ind w:firstLine="0" w:left="106" w:right="3505"/>
        <w:contextualSpacing w:val="0"/>
        <w:rPr>
          <w:sz w:val="24"/>
        </w:rPr>
      </w:pPr>
      <w:r>
        <w:rPr>
          <w:sz w:val="24"/>
        </w:rPr>
        <w:t>Федеральный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8"/>
          <w:sz w:val="24"/>
        </w:rPr>
        <w:t xml:space="preserve"> </w:t>
      </w:r>
      <w:r>
        <w:rPr>
          <w:sz w:val="24"/>
        </w:rPr>
        <w:t>"Российское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образование":</w:t>
      </w:r>
      <w:r>
        <w:rPr>
          <w:spacing w:val="-8"/>
          <w:sz w:val="24"/>
        </w:rPr>
        <w:t xml:space="preserve"> </w:t>
      </w:r>
      <w:r>
        <w:rPr>
          <w:sz w:val="24"/>
        </w:rPr>
        <w:fldChar w:fldCharType="begin"/>
      </w:r>
      <w:r>
        <w:rPr>
          <w:sz w:val="24"/>
        </w:rPr>
        <w:instrText>HYPERLINK "http://www.edu.ru/"</w:instrText>
      </w:r>
      <w:r>
        <w:rPr>
          <w:sz w:val="24"/>
        </w:rPr>
        <w:fldChar w:fldCharType="separate"/>
      </w:r>
      <w:r>
        <w:rPr>
          <w:sz w:val="24"/>
        </w:rPr>
        <w:t>http://www.edu.ru/.</w:t>
      </w:r>
      <w:r>
        <w:rPr>
          <w:sz w:val="24"/>
        </w:rPr>
        <w:fldChar w:fldCharType="end"/>
      </w:r>
      <w:r>
        <w:rPr>
          <w:spacing w:val="-57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ЭОР</w:t>
      </w:r>
      <w:r>
        <w:rPr>
          <w:spacing w:val="-1"/>
          <w:sz w:val="24"/>
        </w:rPr>
        <w:t xml:space="preserve"> </w:t>
      </w:r>
      <w:r>
        <w:rPr>
          <w:sz w:val="24"/>
        </w:rPr>
        <w:t>и ЦОР.</w:t>
      </w:r>
    </w:p>
    <w:p w14:paraId="9B010000">
      <w:pPr>
        <w:pStyle w:val="Style_7"/>
        <w:spacing w:line="275" w:lineRule="exact"/>
        <w:ind/>
      </w:pPr>
      <w:r>
        <w:t>"Открытый</w:t>
      </w:r>
      <w:r>
        <w:rPr>
          <w:spacing w:val="-8"/>
        </w:rPr>
        <w:t xml:space="preserve"> </w:t>
      </w:r>
      <w:r>
        <w:t>класс"</w:t>
      </w:r>
      <w:r>
        <w:rPr>
          <w:spacing w:val="-8"/>
        </w:rPr>
        <w:t xml:space="preserve"> </w:t>
      </w:r>
      <w:r>
        <w:fldChar w:fldCharType="begin"/>
      </w:r>
      <w:r>
        <w:instrText>HYPERLINK "http://www.openclass.ru/"</w:instrText>
      </w:r>
      <w:r>
        <w:fldChar w:fldCharType="separate"/>
      </w:r>
      <w:r>
        <w:t>http://www.openclass.ru/</w:t>
      </w:r>
      <w:r>
        <w:fldChar w:fldCharType="end"/>
      </w:r>
    </w:p>
    <w:p w14:paraId="9C010000">
      <w:pPr>
        <w:spacing w:after="0" w:line="480" w:lineRule="auto"/>
        <w:ind w:firstLine="0" w:left="120"/>
      </w:pPr>
    </w:p>
    <w:p w14:paraId="9D01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</w:t>
      </w:r>
      <w:bookmarkEnd w:id="5"/>
    </w:p>
    <w:sectPr>
      <w:pgSz w:h="16383" w:orient="portrait" w:w="11906"/>
      <w:pgMar w:bottom="1134" w:footer="720" w:gutter="0" w:header="720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notes.xml><?xml version="1.0" encoding="utf-8"?>
<w:foot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footnote w:id="-1" w:type="separator">
    <w:p>
      <w:r>
        <w:separator/>
      </w:r>
    </w:p>
  </w:footnote>
  <w:footnote w:id="0" w:type="continuationSeparator">
    <w:p>
      <w:r>
        <w:continuationSeparator/>
      </w:r>
    </w:p>
  </w:footnote>
  <w:footnote w:id="1">
    <w:p w14:paraId="9E010000">
      <w:pPr>
        <w:pStyle w:val="Style_28"/>
      </w:pPr>
      <w:r>
        <w:rPr>
          <w:vertAlign w:val="superscript"/>
        </w:rPr>
        <w:footnoteRef/>
      </w:r>
      <w:r>
        <w:t xml:space="preserve"> </w:t>
      </w:r>
      <w:r>
        <w:t>Здесь и далее курсивом обозначены темы, изучение которых проводится в ознакомительном плане. Педагог самостоятельно определяет объем изучаемого материала.</w:t>
      </w:r>
    </w:p>
  </w:footnote>
</w:footnote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"/>
      <w:lvlJc w:val="left"/>
      <w:pPr>
        <w:ind w:hanging="360" w:left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1">
    <w:lvl w:ilvl="0">
      <w:start w:val="7"/>
      <w:numFmt w:val="decimal"/>
      <w:lvlText w:val="%1"/>
      <w:lvlJc w:val="left"/>
      <w:pPr>
        <w:ind w:hanging="212" w:left="893"/>
        <w:jc w:val="left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2" w:left="2317"/>
      </w:pPr>
    </w:lvl>
    <w:lvl w:ilvl="2">
      <w:numFmt w:val="bullet"/>
      <w:lvlText w:val="•"/>
      <w:lvlJc w:val="left"/>
      <w:pPr>
        <w:ind w:hanging="212" w:left="3735"/>
      </w:pPr>
    </w:lvl>
    <w:lvl w:ilvl="3">
      <w:numFmt w:val="bullet"/>
      <w:lvlText w:val="•"/>
      <w:lvlJc w:val="left"/>
      <w:pPr>
        <w:ind w:hanging="212" w:left="5153"/>
      </w:pPr>
    </w:lvl>
    <w:lvl w:ilvl="4">
      <w:numFmt w:val="bullet"/>
      <w:lvlText w:val="•"/>
      <w:lvlJc w:val="left"/>
      <w:pPr>
        <w:ind w:hanging="212" w:left="6571"/>
      </w:pPr>
    </w:lvl>
    <w:lvl w:ilvl="5">
      <w:numFmt w:val="bullet"/>
      <w:lvlText w:val="•"/>
      <w:lvlJc w:val="left"/>
      <w:pPr>
        <w:ind w:hanging="212" w:left="7989"/>
      </w:pPr>
    </w:lvl>
    <w:lvl w:ilvl="6">
      <w:numFmt w:val="bullet"/>
      <w:lvlText w:val="•"/>
      <w:lvlJc w:val="left"/>
      <w:pPr>
        <w:ind w:hanging="212" w:left="9407"/>
      </w:pPr>
    </w:lvl>
    <w:lvl w:ilvl="7">
      <w:numFmt w:val="bullet"/>
      <w:lvlText w:val="•"/>
      <w:lvlJc w:val="left"/>
      <w:pPr>
        <w:ind w:hanging="212" w:left="10824"/>
      </w:pPr>
    </w:lvl>
    <w:lvl w:ilvl="8">
      <w:numFmt w:val="bullet"/>
      <w:lvlText w:val="•"/>
      <w:lvlJc w:val="left"/>
      <w:pPr>
        <w:ind w:hanging="212" w:left="12242"/>
      </w:pPr>
    </w:lvl>
  </w:abstractNum>
  <w:abstractNum w:abstractNumId="2">
    <w:lvl w:ilvl="0">
      <w:start w:val="1"/>
      <w:numFmt w:val="decimal"/>
      <w:lvlText w:val="%1."/>
      <w:lvlJc w:val="left"/>
      <w:pPr>
        <w:ind w:hanging="241" w:left="346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41" w:left="1384"/>
      </w:pPr>
    </w:lvl>
    <w:lvl w:ilvl="2">
      <w:numFmt w:val="bullet"/>
      <w:lvlText w:val="•"/>
      <w:lvlJc w:val="left"/>
      <w:pPr>
        <w:ind w:hanging="241" w:left="2428"/>
      </w:pPr>
    </w:lvl>
    <w:lvl w:ilvl="3">
      <w:numFmt w:val="bullet"/>
      <w:lvlText w:val="•"/>
      <w:lvlJc w:val="left"/>
      <w:pPr>
        <w:ind w:hanging="241" w:left="3472"/>
      </w:pPr>
    </w:lvl>
    <w:lvl w:ilvl="4">
      <w:numFmt w:val="bullet"/>
      <w:lvlText w:val="•"/>
      <w:lvlJc w:val="left"/>
      <w:pPr>
        <w:ind w:hanging="241" w:left="4516"/>
      </w:pPr>
    </w:lvl>
    <w:lvl w:ilvl="5">
      <w:numFmt w:val="bullet"/>
      <w:lvlText w:val="•"/>
      <w:lvlJc w:val="left"/>
      <w:pPr>
        <w:ind w:hanging="241" w:left="5560"/>
      </w:pPr>
    </w:lvl>
    <w:lvl w:ilvl="6">
      <w:numFmt w:val="bullet"/>
      <w:lvlText w:val="•"/>
      <w:lvlJc w:val="left"/>
      <w:pPr>
        <w:ind w:hanging="241" w:left="6604"/>
      </w:pPr>
    </w:lvl>
    <w:lvl w:ilvl="7">
      <w:numFmt w:val="bullet"/>
      <w:lvlText w:val="•"/>
      <w:lvlJc w:val="left"/>
      <w:pPr>
        <w:ind w:hanging="241" w:left="7648"/>
      </w:pPr>
    </w:lvl>
    <w:lvl w:ilvl="8">
      <w:numFmt w:val="bullet"/>
      <w:lvlText w:val="•"/>
      <w:lvlJc w:val="left"/>
      <w:pPr>
        <w:ind w:hanging="241" w:left="8692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</w:style>
  <w:style w:default="1" w:styleId="Style_9_ch" w:type="character">
    <w:name w:val="Normal"/>
    <w:link w:val="Style_9"/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toc 2"/>
    <w:next w:val="Style_9"/>
    <w:link w:val="Style_11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1_ch" w:type="character">
    <w:name w:val="toc 2"/>
    <w:link w:val="Style_11"/>
    <w:rPr>
      <w:rFonts w:ascii="XO Thames" w:hAnsi="XO Thames"/>
      <w:sz w:val="28"/>
    </w:rPr>
  </w:style>
  <w:style w:styleId="Style_12" w:type="paragraph">
    <w:name w:val="toc 4"/>
    <w:next w:val="Style_9"/>
    <w:link w:val="Style_12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2_ch" w:type="character">
    <w:name w:val="toc 4"/>
    <w:link w:val="Style_12"/>
    <w:rPr>
      <w:rFonts w:ascii="XO Thames" w:hAnsi="XO Thames"/>
      <w:sz w:val="28"/>
    </w:rPr>
  </w:style>
  <w:style w:styleId="Style_13" w:type="paragraph">
    <w:name w:val="toc 6"/>
    <w:next w:val="Style_9"/>
    <w:link w:val="Style_13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3_ch" w:type="character">
    <w:name w:val="toc 6"/>
    <w:link w:val="Style_13"/>
    <w:rPr>
      <w:rFonts w:ascii="XO Thames" w:hAnsi="XO Thames"/>
      <w:sz w:val="28"/>
    </w:rPr>
  </w:style>
  <w:style w:styleId="Style_14" w:type="paragraph">
    <w:name w:val="toc 7"/>
    <w:next w:val="Style_9"/>
    <w:link w:val="Style_14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4_ch" w:type="character">
    <w:name w:val="toc 7"/>
    <w:link w:val="Style_14"/>
    <w:rPr>
      <w:rFonts w:ascii="XO Thames" w:hAnsi="XO Thames"/>
      <w:sz w:val="28"/>
    </w:rPr>
  </w:style>
  <w:style w:styleId="Style_15" w:type="paragraph">
    <w:name w:val="Оглавление 11"/>
    <w:basedOn w:val="Style_9"/>
    <w:link w:val="Style_15_ch"/>
    <w:pPr>
      <w:widowControl w:val="0"/>
      <w:spacing w:after="0" w:before="122" w:line="240" w:lineRule="auto"/>
      <w:ind w:firstLine="0" w:left="112"/>
    </w:pPr>
    <w:rPr>
      <w:rFonts w:ascii="Times New Roman" w:hAnsi="Times New Roman"/>
      <w:sz w:val="28"/>
    </w:rPr>
  </w:style>
  <w:style w:styleId="Style_15_ch" w:type="character">
    <w:name w:val="Оглавление 11"/>
    <w:basedOn w:val="Style_9_ch"/>
    <w:link w:val="Style_15"/>
    <w:rPr>
      <w:rFonts w:ascii="Times New Roman" w:hAnsi="Times New Roman"/>
      <w:sz w:val="28"/>
    </w:rPr>
  </w:style>
  <w:style w:styleId="Style_16" w:type="paragraph">
    <w:name w:val="Normal Indent"/>
    <w:basedOn w:val="Style_9"/>
    <w:link w:val="Style_16_ch"/>
    <w:pPr>
      <w:ind w:firstLine="0" w:left="720"/>
    </w:pPr>
  </w:style>
  <w:style w:styleId="Style_16_ch" w:type="character">
    <w:name w:val="Normal Indent"/>
    <w:basedOn w:val="Style_9_ch"/>
    <w:link w:val="Style_16"/>
  </w:style>
  <w:style w:styleId="Style_17" w:type="paragraph">
    <w:name w:val="heading 3"/>
    <w:basedOn w:val="Style_9"/>
    <w:next w:val="Style_9"/>
    <w:link w:val="Style_17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17_ch" w:type="character">
    <w:name w:val="heading 3"/>
    <w:basedOn w:val="Style_9_ch"/>
    <w:link w:val="Style_17"/>
    <w:rPr>
      <w:rFonts w:asciiTheme="majorAscii" w:hAnsiTheme="majorHAnsi"/>
      <w:b w:val="1"/>
      <w:color w:themeColor="accent1" w:val="4F81BD"/>
    </w:rPr>
  </w:style>
  <w:style w:styleId="Style_18" w:type="paragraph">
    <w:name w:val="footer"/>
    <w:basedOn w:val="Style_9"/>
    <w:link w:val="Style_18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8_ch" w:type="character">
    <w:name w:val="footer"/>
    <w:basedOn w:val="Style_9_ch"/>
    <w:link w:val="Style_18"/>
  </w:style>
  <w:style w:styleId="Style_7" w:type="paragraph">
    <w:name w:val="Body Text"/>
    <w:basedOn w:val="Style_9"/>
    <w:link w:val="Style_7_ch"/>
    <w:pPr>
      <w:widowControl w:val="0"/>
      <w:spacing w:after="0" w:line="240" w:lineRule="auto"/>
      <w:ind w:firstLine="0" w:left="112"/>
      <w:jc w:val="both"/>
    </w:pPr>
    <w:rPr>
      <w:rFonts w:ascii="Times New Roman" w:hAnsi="Times New Roman"/>
      <w:sz w:val="28"/>
    </w:rPr>
  </w:style>
  <w:style w:styleId="Style_7_ch" w:type="character">
    <w:name w:val="Body Text"/>
    <w:basedOn w:val="Style_9_ch"/>
    <w:link w:val="Style_7"/>
    <w:rPr>
      <w:rFonts w:ascii="Times New Roman" w:hAnsi="Times New Roman"/>
      <w:sz w:val="28"/>
    </w:rPr>
  </w:style>
  <w:style w:styleId="Style_19" w:type="paragraph">
    <w:name w:val="Emphasis"/>
    <w:basedOn w:val="Style_10"/>
    <w:link w:val="Style_19_ch"/>
    <w:rPr>
      <w:i w:val="1"/>
    </w:rPr>
  </w:style>
  <w:style w:styleId="Style_19_ch" w:type="character">
    <w:name w:val="Emphasis"/>
    <w:basedOn w:val="Style_10_ch"/>
    <w:link w:val="Style_19"/>
    <w:rPr>
      <w:i w:val="1"/>
    </w:rPr>
  </w:style>
  <w:style w:styleId="Style_4" w:type="paragraph">
    <w:name w:val="Заголовок 11"/>
    <w:basedOn w:val="Style_9"/>
    <w:link w:val="Style_4_ch"/>
    <w:pPr>
      <w:widowControl w:val="0"/>
      <w:spacing w:after="0" w:line="240" w:lineRule="auto"/>
      <w:ind w:firstLine="0" w:left="324"/>
      <w:outlineLvl w:val="1"/>
    </w:pPr>
    <w:rPr>
      <w:rFonts w:ascii="Times New Roman" w:hAnsi="Times New Roman"/>
      <w:b w:val="1"/>
      <w:sz w:val="28"/>
    </w:rPr>
  </w:style>
  <w:style w:styleId="Style_4_ch" w:type="character">
    <w:name w:val="Заголовок 11"/>
    <w:basedOn w:val="Style_9_ch"/>
    <w:link w:val="Style_4"/>
    <w:rPr>
      <w:rFonts w:ascii="Times New Roman" w:hAnsi="Times New Roman"/>
      <w:b w:val="1"/>
      <w:sz w:val="28"/>
    </w:rPr>
  </w:style>
  <w:style w:styleId="Style_20" w:type="paragraph">
    <w:name w:val="Balloon Text"/>
    <w:basedOn w:val="Style_9"/>
    <w:link w:val="Style_20_ch"/>
    <w:pPr>
      <w:widowControl w:val="0"/>
      <w:spacing w:after="0" w:line="240" w:lineRule="auto"/>
      <w:ind/>
    </w:pPr>
    <w:rPr>
      <w:rFonts w:ascii="Tahoma" w:hAnsi="Tahoma"/>
      <w:sz w:val="16"/>
    </w:rPr>
  </w:style>
  <w:style w:styleId="Style_20_ch" w:type="character">
    <w:name w:val="Balloon Text"/>
    <w:basedOn w:val="Style_9_ch"/>
    <w:link w:val="Style_20"/>
    <w:rPr>
      <w:rFonts w:ascii="Tahoma" w:hAnsi="Tahoma"/>
      <w:sz w:val="16"/>
    </w:rPr>
  </w:style>
  <w:style w:styleId="Style_21" w:type="paragraph">
    <w:name w:val="Заголовок 21"/>
    <w:basedOn w:val="Style_9"/>
    <w:link w:val="Style_21_ch"/>
    <w:pPr>
      <w:widowControl w:val="0"/>
      <w:spacing w:after="0" w:line="318" w:lineRule="exact"/>
      <w:ind w:firstLine="0" w:left="821"/>
      <w:jc w:val="both"/>
      <w:outlineLvl w:val="2"/>
    </w:pPr>
    <w:rPr>
      <w:rFonts w:ascii="Times New Roman" w:hAnsi="Times New Roman"/>
      <w:b w:val="1"/>
      <w:i w:val="1"/>
      <w:sz w:val="28"/>
    </w:rPr>
  </w:style>
  <w:style w:styleId="Style_21_ch" w:type="character">
    <w:name w:val="Заголовок 21"/>
    <w:basedOn w:val="Style_9_ch"/>
    <w:link w:val="Style_21"/>
    <w:rPr>
      <w:rFonts w:ascii="Times New Roman" w:hAnsi="Times New Roman"/>
      <w:b w:val="1"/>
      <w:i w:val="1"/>
      <w:sz w:val="28"/>
    </w:rPr>
  </w:style>
  <w:style w:styleId="Style_22" w:type="paragraph">
    <w:name w:val="toc 3"/>
    <w:next w:val="Style_9"/>
    <w:link w:val="Style_2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2_ch" w:type="character">
    <w:name w:val="toc 3"/>
    <w:link w:val="Style_22"/>
    <w:rPr>
      <w:rFonts w:ascii="XO Thames" w:hAnsi="XO Thames"/>
      <w:sz w:val="28"/>
    </w:rPr>
  </w:style>
  <w:style w:styleId="Style_2" w:type="paragraph">
    <w:name w:val="footnote reference"/>
    <w:link w:val="Style_2_ch"/>
    <w:rPr>
      <w:vertAlign w:val="superscript"/>
    </w:rPr>
  </w:style>
  <w:style w:styleId="Style_2_ch" w:type="character">
    <w:name w:val="footnote reference"/>
    <w:link w:val="Style_2"/>
    <w:rPr>
      <w:vertAlign w:val="superscript"/>
    </w:rPr>
  </w:style>
  <w:style w:styleId="Style_23" w:type="paragraph">
    <w:name w:val="caption"/>
    <w:basedOn w:val="Style_9"/>
    <w:next w:val="Style_9"/>
    <w:link w:val="Style_23_ch"/>
    <w:pPr>
      <w:spacing w:line="240" w:lineRule="auto"/>
      <w:ind/>
    </w:pPr>
    <w:rPr>
      <w:b w:val="1"/>
      <w:color w:themeColor="accent1" w:val="4F81BD"/>
      <w:sz w:val="18"/>
    </w:rPr>
  </w:style>
  <w:style w:styleId="Style_23_ch" w:type="character">
    <w:name w:val="caption"/>
    <w:basedOn w:val="Style_9_ch"/>
    <w:link w:val="Style_23"/>
    <w:rPr>
      <w:b w:val="1"/>
      <w:color w:themeColor="accent1" w:val="4F81BD"/>
      <w:sz w:val="18"/>
    </w:rPr>
  </w:style>
  <w:style w:styleId="Style_24" w:type="paragraph">
    <w:name w:val="header"/>
    <w:basedOn w:val="Style_9"/>
    <w:link w:val="Style_24_ch"/>
    <w:pPr>
      <w:tabs>
        <w:tab w:leader="none" w:pos="4680" w:val="center"/>
        <w:tab w:leader="none" w:pos="9360" w:val="right"/>
      </w:tabs>
      <w:ind/>
    </w:pPr>
  </w:style>
  <w:style w:styleId="Style_24_ch" w:type="character">
    <w:name w:val="header"/>
    <w:basedOn w:val="Style_9_ch"/>
    <w:link w:val="Style_24"/>
  </w:style>
  <w:style w:styleId="Style_25" w:type="paragraph">
    <w:name w:val="heading 5"/>
    <w:next w:val="Style_9"/>
    <w:link w:val="Style_2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5_ch" w:type="character">
    <w:name w:val="heading 5"/>
    <w:link w:val="Style_25"/>
    <w:rPr>
      <w:rFonts w:ascii="XO Thames" w:hAnsi="XO Thames"/>
      <w:b w:val="1"/>
      <w:sz w:val="22"/>
    </w:rPr>
  </w:style>
  <w:style w:styleId="Style_26" w:type="paragraph">
    <w:name w:val="heading 1"/>
    <w:basedOn w:val="Style_9"/>
    <w:next w:val="Style_9"/>
    <w:link w:val="Style_26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26_ch" w:type="character">
    <w:name w:val="heading 1"/>
    <w:basedOn w:val="Style_9_ch"/>
    <w:link w:val="Style_26"/>
    <w:rPr>
      <w:rFonts w:asciiTheme="majorAscii" w:hAnsiTheme="majorHAnsi"/>
      <w:b w:val="1"/>
      <w:color w:themeColor="accent1" w:themeShade="BF" w:val="366091"/>
      <w:sz w:val="28"/>
    </w:rPr>
  </w:style>
  <w:style w:styleId="Style_27" w:type="paragraph">
    <w:name w:val="Hyperlink"/>
    <w:basedOn w:val="Style_10"/>
    <w:link w:val="Style_27_ch"/>
    <w:rPr>
      <w:color w:themeColor="hyperlink" w:val="0000FF"/>
      <w:u w:val="single"/>
    </w:rPr>
  </w:style>
  <w:style w:styleId="Style_27_ch" w:type="character">
    <w:name w:val="Hyperlink"/>
    <w:basedOn w:val="Style_10_ch"/>
    <w:link w:val="Style_27"/>
    <w:rPr>
      <w:color w:themeColor="hyperlink" w:val="0000FF"/>
      <w:u w:val="single"/>
    </w:rPr>
  </w:style>
  <w:style w:styleId="Style_28" w:type="paragraph">
    <w:name w:val="Footnote"/>
    <w:basedOn w:val="Style_9"/>
    <w:link w:val="Style_28_ch"/>
    <w:pPr>
      <w:spacing w:after="0" w:line="240" w:lineRule="auto"/>
      <w:ind/>
    </w:pPr>
    <w:rPr>
      <w:rFonts w:ascii="Times New Roman" w:hAnsi="Times New Roman"/>
      <w:sz w:val="20"/>
    </w:rPr>
  </w:style>
  <w:style w:styleId="Style_28_ch" w:type="character">
    <w:name w:val="Footnote"/>
    <w:basedOn w:val="Style_9_ch"/>
    <w:link w:val="Style_28"/>
    <w:rPr>
      <w:rFonts w:ascii="Times New Roman" w:hAnsi="Times New Roman"/>
      <w:sz w:val="20"/>
    </w:rPr>
  </w:style>
  <w:style w:styleId="Style_29" w:type="paragraph">
    <w:name w:val="toc 1"/>
    <w:next w:val="Style_9"/>
    <w:link w:val="Style_2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9_ch" w:type="character">
    <w:name w:val="toc 1"/>
    <w:link w:val="Style_29"/>
    <w:rPr>
      <w:rFonts w:ascii="XO Thames" w:hAnsi="XO Thames"/>
      <w:b w:val="1"/>
      <w:sz w:val="28"/>
    </w:rPr>
  </w:style>
  <w:style w:styleId="Style_30" w:type="paragraph">
    <w:name w:val="Header and Footer"/>
    <w:link w:val="Style_30_ch"/>
    <w:pPr>
      <w:spacing w:line="240" w:lineRule="auto"/>
      <w:ind/>
      <w:jc w:val="both"/>
    </w:pPr>
    <w:rPr>
      <w:rFonts w:ascii="XO Thames" w:hAnsi="XO Thames"/>
      <w:sz w:val="20"/>
    </w:rPr>
  </w:style>
  <w:style w:styleId="Style_30_ch" w:type="character">
    <w:name w:val="Header and Footer"/>
    <w:link w:val="Style_30"/>
    <w:rPr>
      <w:rFonts w:ascii="XO Thames" w:hAnsi="XO Thames"/>
      <w:sz w:val="20"/>
    </w:rPr>
  </w:style>
  <w:style w:styleId="Style_31" w:type="paragraph">
    <w:name w:val="Оглавление 21"/>
    <w:basedOn w:val="Style_9"/>
    <w:link w:val="Style_31_ch"/>
    <w:pPr>
      <w:widowControl w:val="0"/>
      <w:spacing w:after="0" w:line="322" w:lineRule="exact"/>
      <w:ind w:firstLine="0" w:left="965"/>
    </w:pPr>
    <w:rPr>
      <w:rFonts w:ascii="Times New Roman" w:hAnsi="Times New Roman"/>
      <w:sz w:val="28"/>
    </w:rPr>
  </w:style>
  <w:style w:styleId="Style_31_ch" w:type="character">
    <w:name w:val="Оглавление 21"/>
    <w:basedOn w:val="Style_9_ch"/>
    <w:link w:val="Style_31"/>
    <w:rPr>
      <w:rFonts w:ascii="Times New Roman" w:hAnsi="Times New Roman"/>
      <w:sz w:val="28"/>
    </w:rPr>
  </w:style>
  <w:style w:styleId="Style_32" w:type="paragraph">
    <w:name w:val="toc 9"/>
    <w:next w:val="Style_9"/>
    <w:link w:val="Style_3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2_ch" w:type="character">
    <w:name w:val="toc 9"/>
    <w:link w:val="Style_32"/>
    <w:rPr>
      <w:rFonts w:ascii="XO Thames" w:hAnsi="XO Thames"/>
      <w:sz w:val="28"/>
    </w:rPr>
  </w:style>
  <w:style w:styleId="Style_33" w:type="paragraph">
    <w:name w:val="Normal (Web)"/>
    <w:basedOn w:val="Style_9"/>
    <w:link w:val="Style_3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3_ch" w:type="character">
    <w:name w:val="Normal (Web)"/>
    <w:basedOn w:val="Style_9_ch"/>
    <w:link w:val="Style_33"/>
    <w:rPr>
      <w:rFonts w:ascii="Times New Roman" w:hAnsi="Times New Roman"/>
      <w:sz w:val="24"/>
    </w:rPr>
  </w:style>
  <w:style w:styleId="Style_1" w:type="paragraph">
    <w:name w:val="List Paragraph"/>
    <w:basedOn w:val="Style_9"/>
    <w:link w:val="Style_1_ch"/>
    <w:pPr>
      <w:spacing w:after="160" w:line="264" w:lineRule="auto"/>
      <w:ind w:firstLine="0" w:left="720"/>
      <w:contextualSpacing w:val="1"/>
    </w:pPr>
    <w:rPr>
      <w:rFonts w:ascii="Times New Roman" w:hAnsi="Times New Roman"/>
      <w:sz w:val="28"/>
    </w:rPr>
  </w:style>
  <w:style w:styleId="Style_1_ch" w:type="character">
    <w:name w:val="List Paragraph"/>
    <w:basedOn w:val="Style_9_ch"/>
    <w:link w:val="Style_1"/>
    <w:rPr>
      <w:rFonts w:ascii="Times New Roman" w:hAnsi="Times New Roman"/>
      <w:sz w:val="28"/>
    </w:rPr>
  </w:style>
  <w:style w:styleId="Style_34" w:type="paragraph">
    <w:name w:val="toc 8"/>
    <w:next w:val="Style_9"/>
    <w:link w:val="Style_3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4_ch" w:type="character">
    <w:name w:val="toc 8"/>
    <w:link w:val="Style_34"/>
    <w:rPr>
      <w:rFonts w:ascii="XO Thames" w:hAnsi="XO Thames"/>
      <w:sz w:val="28"/>
    </w:rPr>
  </w:style>
  <w:style w:styleId="Style_6" w:type="paragraph">
    <w:name w:val="Table Paragraph"/>
    <w:basedOn w:val="Style_9"/>
    <w:link w:val="Style_6_ch"/>
    <w:pPr>
      <w:widowControl w:val="0"/>
      <w:spacing w:after="0" w:line="240" w:lineRule="auto"/>
      <w:ind w:firstLine="0" w:left="54"/>
    </w:pPr>
    <w:rPr>
      <w:rFonts w:ascii="Times New Roman" w:hAnsi="Times New Roman"/>
    </w:rPr>
  </w:style>
  <w:style w:styleId="Style_6_ch" w:type="character">
    <w:name w:val="Table Paragraph"/>
    <w:basedOn w:val="Style_9_ch"/>
    <w:link w:val="Style_6"/>
    <w:rPr>
      <w:rFonts w:ascii="Times New Roman" w:hAnsi="Times New Roman"/>
    </w:rPr>
  </w:style>
  <w:style w:styleId="Style_35" w:type="paragraph">
    <w:name w:val="toc 5"/>
    <w:next w:val="Style_9"/>
    <w:link w:val="Style_3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5_ch" w:type="character">
    <w:name w:val="toc 5"/>
    <w:link w:val="Style_35"/>
    <w:rPr>
      <w:rFonts w:ascii="XO Thames" w:hAnsi="XO Thames"/>
      <w:sz w:val="28"/>
    </w:rPr>
  </w:style>
  <w:style w:styleId="Style_8" w:type="paragraph">
    <w:name w:val="Заголовок 12"/>
    <w:basedOn w:val="Style_9"/>
    <w:link w:val="Style_8_ch"/>
    <w:pPr>
      <w:widowControl w:val="0"/>
      <w:spacing w:after="0" w:line="240" w:lineRule="auto"/>
      <w:ind w:firstLine="0" w:left="106"/>
      <w:outlineLvl w:val="1"/>
    </w:pPr>
    <w:rPr>
      <w:rFonts w:ascii="Times New Roman" w:hAnsi="Times New Roman"/>
      <w:b w:val="1"/>
      <w:sz w:val="24"/>
    </w:rPr>
  </w:style>
  <w:style w:styleId="Style_8_ch" w:type="character">
    <w:name w:val="Заголовок 12"/>
    <w:basedOn w:val="Style_9_ch"/>
    <w:link w:val="Style_8"/>
    <w:rPr>
      <w:rFonts w:ascii="Times New Roman" w:hAnsi="Times New Roman"/>
      <w:b w:val="1"/>
      <w:sz w:val="24"/>
    </w:rPr>
  </w:style>
  <w:style w:styleId="Style_36" w:type="paragraph">
    <w:name w:val="Subtitle"/>
    <w:basedOn w:val="Style_9"/>
    <w:next w:val="Style_9"/>
    <w:link w:val="Style_36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36_ch" w:type="character">
    <w:name w:val="Subtitle"/>
    <w:basedOn w:val="Style_9_ch"/>
    <w:link w:val="Style_36"/>
    <w:rPr>
      <w:rFonts w:asciiTheme="majorAscii" w:hAnsiTheme="majorHAnsi"/>
      <w:i w:val="1"/>
      <w:color w:themeColor="accent1" w:val="4F81BD"/>
      <w:spacing w:val="15"/>
      <w:sz w:val="24"/>
    </w:rPr>
  </w:style>
  <w:style w:styleId="Style_37" w:type="paragraph">
    <w:name w:val="Заголовок 22"/>
    <w:basedOn w:val="Style_9"/>
    <w:link w:val="Style_37_ch"/>
    <w:pPr>
      <w:widowControl w:val="0"/>
      <w:spacing w:after="0" w:line="240" w:lineRule="auto"/>
      <w:ind w:firstLine="0" w:left="102"/>
      <w:outlineLvl w:val="2"/>
    </w:pPr>
    <w:rPr>
      <w:rFonts w:ascii="Times New Roman" w:hAnsi="Times New Roman"/>
      <w:b w:val="1"/>
      <w:i w:val="1"/>
      <w:sz w:val="28"/>
    </w:rPr>
  </w:style>
  <w:style w:styleId="Style_37_ch" w:type="character">
    <w:name w:val="Заголовок 22"/>
    <w:basedOn w:val="Style_9_ch"/>
    <w:link w:val="Style_37"/>
    <w:rPr>
      <w:rFonts w:ascii="Times New Roman" w:hAnsi="Times New Roman"/>
      <w:b w:val="1"/>
      <w:i w:val="1"/>
      <w:sz w:val="28"/>
    </w:rPr>
  </w:style>
  <w:style w:styleId="Style_38" w:type="paragraph">
    <w:name w:val="Title"/>
    <w:basedOn w:val="Style_9"/>
    <w:next w:val="Style_9"/>
    <w:link w:val="Style_38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65D"/>
      <w:spacing w:val="5"/>
      <w:sz w:val="52"/>
    </w:rPr>
  </w:style>
  <w:style w:styleId="Style_38_ch" w:type="character">
    <w:name w:val="Title"/>
    <w:basedOn w:val="Style_9_ch"/>
    <w:link w:val="Style_38"/>
    <w:rPr>
      <w:rFonts w:asciiTheme="majorAscii" w:hAnsiTheme="majorHAnsi"/>
      <w:color w:themeColor="text2" w:themeShade="BF" w:val="17365D"/>
      <w:spacing w:val="5"/>
      <w:sz w:val="52"/>
    </w:rPr>
  </w:style>
  <w:style w:styleId="Style_39" w:type="paragraph">
    <w:name w:val="heading 4"/>
    <w:basedOn w:val="Style_9"/>
    <w:next w:val="Style_9"/>
    <w:link w:val="Style_39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39_ch" w:type="character">
    <w:name w:val="heading 4"/>
    <w:basedOn w:val="Style_9_ch"/>
    <w:link w:val="Style_39"/>
    <w:rPr>
      <w:rFonts w:asciiTheme="majorAscii" w:hAnsiTheme="majorHAnsi"/>
      <w:b w:val="1"/>
      <w:i w:val="1"/>
      <w:color w:themeColor="accent1" w:val="4F81BD"/>
    </w:rPr>
  </w:style>
  <w:style w:styleId="Style_40" w:type="paragraph">
    <w:name w:val="heading 2"/>
    <w:basedOn w:val="Style_9"/>
    <w:next w:val="Style_9"/>
    <w:link w:val="Style_40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40_ch" w:type="character">
    <w:name w:val="heading 2"/>
    <w:basedOn w:val="Style_9_ch"/>
    <w:link w:val="Style_40"/>
    <w:rPr>
      <w:rFonts w:asciiTheme="majorAscii" w:hAnsiTheme="majorHAnsi"/>
      <w:b w:val="1"/>
      <w:color w:themeColor="accent1" w:val="4F81BD"/>
      <w:sz w:val="26"/>
    </w:rPr>
  </w:style>
  <w:style w:styleId="Style_41" w:type="table">
    <w:name w:val="Table Grid"/>
    <w:basedOn w:val="Style_3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9" Target="numbering.xml" Type="http://schemas.openxmlformats.org/officeDocument/2006/relationships/numbering"/>
  <Relationship Id="rId5" Target="stylesWithEffects.xml" Type="http://schemas.microsoft.com/office/2007/relationships/stylesWithEffects"/>
  <Relationship Id="rId8" Target="footnotes.xml" Type="http://schemas.openxmlformats.org/officeDocument/2006/relationships/footnote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2025-04-24T07:21:01Z</dcterms:modified>
</cp:coreProperties>
</file>